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գ· Ծաղկահովիտ, Հոկտեմբերյան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Ծաղկահովիտի առողջության կենտրոն ՓԲԸ-ի կարիքների համար ԾԱԿ-ԷԱՃԱՊՁԲ-25/1 ծածկագրով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096 50 50 09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alis.nikolayan@mail.ru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«Ծաղկահովիտի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«Ծաղկահովիտի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«Ծաղկահովիտի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Ծաղկահովիտի առողջության կենտրոն ՓԲԸ-ի կարիքների համար ԾԱԿ-ԷԱՃԱՊՁԲ-25/1 ծածկագրով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«Ծաղկահովիտի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Ծաղկահովիտի առողջության կենտրոն ՓԲԸ-ի կարիքների համար ԾԱԿ-ԷԱՃԱՊՁԲ-25/1 ծածկագրով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alis.nikolayan@mail.ru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Ծաղկահովիտի առողջության կենտրոն ՓԲԸ-ի կարիքների համար ԾԱԿ-ԷԱՃԱՊՁԲ-25/1 ծածկագրով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ԾԱԿ-ԷԱՃԱՊՁԲ-25/1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«Ծաղկահովիտի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ԾԱԿ-ԷԱՃԱՊՁԲ-25/1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ԾԱԿ-ԷԱՃԱՊՁԲ-25/1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ԾԱԿ-ԷԱՃԱՊՁԲ-25/1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ԾԱԿ-ԷԱՃԱՊՁԲ-25/1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ևավելի)-15 %, այլ օքսիդիչներ-10 %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կտրոնային:
•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