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  МНЦ</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Гр. Нерсисян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Едвард Григорян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yerevan.gnum@mail.ru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+37410244974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  МНЦ</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ԵԲԳԿ-ԷԱՃԱՊՁԲ-25/11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  МНЦ</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  МНЦ</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  МНЦ</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ԵԲԳԿ-ԷԱՃԱՊՁԲ-25/11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yerevan.gnum@mail.ru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399.44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2025.01.21. 10:30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ԵԲԳԿ-ԷԱՃԱՊՁԲ-25/11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  МНЦ</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ԵԲԳԿ-ԷԱՃԱՊՁԲ-25/11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ԵԲԳԿ-ԷԱՃԱՊՁԲ-25/11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ԵԲԳԿ-ԷԱՃԱՊՁԲ-25/11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  МНЦ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"ԵԲԳԿ-ԷԱՃԱՊՁԲ-25/11"*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"ԵԲԳԿ-ԷԱՃԱՊՁԲ-25/11"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ԵԲԳԿ-ԷԱՃԱՊՁԲ-25/11*.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ԵԲԳԿ-ԷԱՃԱՊՁԲ-25/11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"ԵԲԳԿ-ԷԱՃԱՊՁԲ-25/11"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ԵԲԳԿ-ԷԱՃԱՊՁԲ-25/11*.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ԵԲԳԿ-ԷԱՃԱՊՁԲ-25/11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ԵԲԳԿ-ԷԱՃԱՊՁԲ-25/11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Иогексол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350мг/мл флакон 50мл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ԵԲԳԿ-ԷԱՃԱՊՁԲ-25/11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ԵԲԳԿ-ԷԱՃԱՊՁԲ-25/11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ԵԲԳԿ-ԷԱՃԱՊՁԲ-25/11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ԵԲԳԿ-ԷԱՃԱՊՁԲ-25/11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