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դեղորայքի ձեռքբերում 2025թ/4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2025/5</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դեղորայքի ձեռքբերում 2025թ/4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դեղորայքի ձեռքբերում 2025թ/4</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դեղորայքի ձեռքբերում 2025թ/4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ԳՀԱԿ-ԷԱՃԱՊՁԲ 2025/5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ԳՀԱԿ-ԷԱՃԱՊՁԲ 2025/5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Инсектициды, Нёда спрей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реактивные медицинские наборы, ферментативный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АФК «Система»,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5000 мг, в маслоподобных капсулах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РР 10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Компливит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а11ха02 В6 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b03ba01 500 мг 2 мл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Кордиамин 250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Кардио аспирин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5%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2мг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Аминазин 25 мг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а12са01, b05cb01, b05xa03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25%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 Контур А50 определение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 13,5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Валиум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Седуксен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Эскард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Омник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Релиф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Персен 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капсулы 100мг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пажитника - N05CM09 травяное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R06AC03, D04AA09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дифенхидрамин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