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ԵԱՍՄ-ԷԱՃԱՊՁԲ-25/16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 Բաղդասարյան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2025.01.08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ԵԱՍՄ-ԷԱՃԱՊՁԲ-25/16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ԵԱՍՄ-ԷԱՃԱՊՁԲ-25/16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ԵԱՍՄ-ԷԱՃԱՊՁԲ-25/16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Масло моторное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Масло моторное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Очиститель стекол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ԵԱՍՄ-ԷԱՃԱՊՁԲ-25/16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Масло моторное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15W40 предназначены для дизельных двигателей. Международные стандарты: API CK-4 и ACEA E9 (Cummins CES 20086), MANN M 3575, VOLVO VDS -4.5, CATERPILLAR ECF -3 или эквивалентные, а также предполагаемые требования по выбросам EURO-V. Использование: предназначено для круглогодичного использования для сезонов. Температура кристаллизации: не ниже -40 С. Температура вспышки: не ниже 220 С. Кинематическая вязкость: при 100 С не менее 15,0 и при 40 С не менее 100. Индекс вязкости: не менее 155. Плотность при 20 С: не менее 0,850. Количество щелочных соединений / (мг КОН/г) (миллиграммов гидроксида калия на грамм масла)/ составляет не менее 9 мг КОН/г. Химический состав: минеральный. Гарантийный срок: не менее 2 лет. Масла должны быть европейского или американского производства. При доставке товара предъявите сертификат, в котором указана страна и организация-изготовитель, а также качество. Поставляем всю партию моторного масла одной марки․ Примеры моторных масел от производителей, соответствующих требованиям: (эквивалентность должна быть обоснована участником). В случае возникновения сомнений со стороны покупателя продавец обязан провести лабораторную экспертизу масла поставляемой им партии у себя за свой счет, в компании, указанной заказчиком, которая может находиться как на территории Республики Армения, так и за пределами территории Республики Армения. Компания-поставщик должна предоставить импортную документацию и документацию в соответствии с вышеуказанными международными стандартами. Продукция должна быть новой, неиспользованной и в заводской упаковке. Срок изготовления: не ранее 2 полугодия 2024 года. Упаковка: в емкостях объемом 200-210 литров, опломбированных производителем. Обязательное условие: каждый поставляемый контейнер должен иметь подходящий ручной насосос.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Масло моторное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20W50 предназначены для дизельных двигателей. Международные стандарты: API CI-4 и ACEA E7 (Cummins CES 20078), MANN M 3275-1, MB 228.3, CATERPILLAR ECF -1/ECF-2 или эквивалентные, а также предполагаемые требования по выбросам EURO-V. Использование: предполагаемое для всех сезонов года. Температура кристаллизации: не ниже -25С. . Температура вспышки: не ниже 220 С. Кинематическая вязкость: при 100 С не менее 18,0 и при 40 С не менее 150. Индекс вязкости: не менее 225. Плотность при 15С: не менее 0,875. Количество щелочных соединений / (мг КОН/г) (миллиграммов гидроксида калия на грамм масла)/ составляет не менее 10 мг КОН/г. Химический состав: минеральный. Гарантийный срок: не менее 2 лет. Масла должны быть европейского или американского производства. При доставке товара предъявите сертификат, в котором указана страна и организация-изготовитель, а также качество. Поставляем всю партию моторного масла одной марки. Примеры моторных масел от производителей, соответствующих требованиям: (эквивалентность должна быть обоснована участником). В случае возникновения сомнений со стороны покупателя продавец обязан провести лабораторную экспертизу масла поставляемой им партии у себя за свой счет, в компании, указанной заказчиком, которая может находиться как на территории Республики Армения, так и за пределами территории Республики Армения. Компания-поставщик должна предоставить импортную документацию и документацию в соответствии с вышеуказанными международными стандартами. Продукция должна быть новой, неиспользованной и в заводской упаковке. Срок изготовления: не ранее 2 полугодия 2024 года. Упаковка: в емкостях объемом 200-210 литров, опломбированных производителем. Обязательное условие: каждый поставляемый контейнер должен иметь подходящий ручной насосос.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Незамерзающий очиститель стекол, предназначенный для использования в автомобильных распылителях при температуре не ниже -15 С. В емкостях 4-5 литров.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не менее по 2500 литр в 1-ом, 2-ом квартале,  в 3-ем квартале 3000 литр, начиная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не менее по 2500 литр в 1-ом, 2-ом квартале,  в 3-ем квартале 3000 литр, начиная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до 21 календарного дня со дня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