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ԵԱՍՄ-ԷԱՃԱՊՁԲ-25/16 ծածկագրով յուղերի և այլ նմանատիպ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ԵԱՍՄ-ԷԱՃԱՊՁԲ-25/16 ծածկագրով յուղերի և այլ նմանատիպ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ԵԱՍՄ-ԷԱՃԱՊՁԲ-25/16 ծածկագրով յուղերի և այլ նմանատիպ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ԵԱՍՄ-ԷԱՃԱՊՁԲ-25/16 ծածկագրով յուղերի և այլ նմանատիպ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ապակի մաքրելու միջոց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15W40 նախատեսված դիզելային շարժիչների համար։ Միջազգային ստանդարտներ՝ API CK-4 և ACEA E9 (Cummins CES 20086), MANN M 3575 , VOLVO VDS -4,5, CATERPILLAR ECF -3  համապատասխան կամ համարժեք, ինչպես նաև նախատեսված EURO-V  արտանետումների պահանջներին համապատասխան: Օգտագործումը՝ նախատեսված տարվա բոլոր եղանակների համար։ Բյուրեղացման ջերմաստիճանը՝ ոչ ցածր --40 C-ից։ Բռնկման ջերմաստիճանը՝ ոչ ցածր 220 C-ից։ Կինեմատիկական մածուցիկությունը՝ 100 C-ում ոչ պակաս 15.0-ից, և 40 C-ում՝ ոչ պակաս 100-ից։ Մածուցիկության ինդեքսը՝ ոչ պակաս 155-ից։ Խտությունը 20 C-ում՝ ոչ պակաս 0,850-ից։ Ալկալային միացությունների քանակը / (mg KOH/g) (միլիգրամ կալիումի հիդրօքսի մեկ գրամ յուղի համար)/՝ ոչ պակաս 9  մգ KOH/գ-ից։ Քիմիական բաղադրությունը՝ հանքային։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2024 թ.-ի 2-րդ կիսամյակից ոչ շուտ։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20W50 նախատեսված դիզելային շարժիչների համար։ Միջազգային ստանդարտներ՝ API CI-4 և ACEA E7 (Cummins CES 20078), MANN M 3275-1 , MB 228.3, CATERPILLAR ECF -1/ECF-2  համապատասխան կամ համարժեք, ինչպես նաև նախատեսված EURO-V  արտանետումների պահանջներին համապատասխան: Օգտագործումը՝ նախատեսված տարվա բոլոր եղանակների համար։ Բյուրեղացման ջերմաստիճանը՝ ոչ ցածր --25C-ից։ ։ Բռնկման ջերմաստիճանը՝ ոչ ցածր 220 C-ից։ Կինեմատիկական մածուցիկությունը՝ 100 C-ում ոչ պակաս 18.0-ից, և 40 C-ում՝ ոչ պակաս 150-ից։ Մածուցիկության ինդեքսը՝ ոչ պակաս 225-ից։ Խտությունը 15C-ում՝ ոչ պակաս 0,875-ից։ Ալկալային միացությունների քանակը / (mg KOH/g) (միլիգրամ կալիումի հիդրօքսի մեկ գրամ յուղի համար)/՝ ոչ պակաս 10 մգ KOH/գ-ից։ Քիմիական բաղադրությունը՝ հանքային։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2024 թ.-ի 2-րդ կիսամյակից ոչ շուտ ։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չսառչող միջոց նախատեսված ավտոմեքենաների ցողիչներում օգտագործելու համար՝ առնվազն -15C   ջերմաստիճանում: 4-5 լիտր  տարրաներով։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եռամսյակներում առնվազն 2500-ական լիտր, 3-րդ եռամսյակում 3000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եռամսյակներում առնվազն 2500-ական լիտր, 3-րդ եռամսյակում 3000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