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топливо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топливо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топливо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топливо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«Технический регламент топлива для двигателей внутреннего сгорания», утвержденный постановлением N 1592 от 11 ноября.
 Поставка: талон. Место поставки: г. Веди, Гай 2, Араратская область. Это обязательное условие. Наличие АЗС в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