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и медицинских товаров для нужд ЗАО «Медицинский центр Вайоц Дзор» с кодом VZBK-EACHAPZB-25/04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и медицинских товаров для нужд ЗАО «Медицинский центр Вайоц Дзор» с кодом VZBK-EACHAPZB-25/04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и медицинских товаров для нужд ЗАО «Медицинский центр Вайоц Дзор» с кодом VZBK-EACHAPZB-25/04</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и медицинских товаров для нужд ЗАО «Медицинский центр Вайоц Дзор» с кодом VZBK-EACHAPZB-25/04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կամ ներքին լծային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3.45</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3%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(կապույտ) ախտահանիչ նյութ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210մմ*30մ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ճնշումը չափող սարք /տոնոմետր/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բազմանգամյա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փաթաթան, որակյալ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թղթե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խտանյութ  28-30, լայնք՝ 90սմ,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Սպիտակ,փափուկ զանգված բնական ծագման,փաթեթավորմամբ,արագ թրջվում է և լավ կլանում հեղուկը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5,0(4մետրիկ) 75սմ ասեղը1/2 40մմ,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4,0(4մետրիկ) 75սմ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ասեղը3/4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1(4մետրիկ)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Ժգուտ-Արյուն վերցնելու ժապավեն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16G,դեղին,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18G,կանաչ,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20G,վարդագույն, 22մմ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22G,կապույտ,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24G,դեղին,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G8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G10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G14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G16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G16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G24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50մլ 0.2մլ բաժանումներով, սանդղակի չափանշումը մեծացված մինչև 60մլ,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10մլ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 մեկանգամյա օգտագործման մատը ծակելու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8սմ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10սմ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25G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26G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27G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22G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23G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կապույտ կամ կանաչ,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կարմիր,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Գծի երկարությունը - 150 մմ, Գծի վրա առկա փականի  գունավոր տաբերակման  առկայությունը՝ կապույտ,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- 150 մմ, Գծի վրա առկա փականի  գունավոր տաբերակման  առկայությունը՝ կարմիր, Մանրէազերծում-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սայր,ստերիլ, միանվագ օգտագործման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համար,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համակարգ՝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N10,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N12,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N14,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N16,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կապույտ ստանդարտ չափի, 4000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ԷՍԳ-ի կպչուն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պարկի ծավալը 1,7լ, 28Fr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(զարկերակ-անոթ լրակազմ): Պոմպային հատվածի ներքին տրամագիծը 8մմ, երակային օդածուղակի տրամագիծը 22մմ, լցման ծավալը 161մլ+-20%,մանրեազերծման մեթոդը՝ռադիացիոն ճառագայթմամբ կամ էթիլեն օքսիդով մանրէազերծում:Պետք է չպարունակի լատեքս:ISO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կամ ներքին լծային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Կենտրոնակային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չափը՝  80*25*15մմ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քթի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քթի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 քարթրիջ N6 ,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 քարթրիջ N6 ,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33%1լ անգույն թափանցիկ լուծույթ ապակե կամ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1լ Ալկիրի լուծույթ դիմեթիլբենզիլամիլային քլորիդը ջրում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համար:16G x 8cm- with 18g x85cm catheter ECK-16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 (ASAHI LEOCEED 18H) Դիալիզատորի մակերեսները 18մմ քառ,Ուլտրաֆիլտրացիայի գործակիցը,50 մլ/ժ/մմ Hg, ստերիլիզացիայի մեթոդը գամմա,Չի պարունակում էթիլեն օքսիդի հետքեր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1.9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2.0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87մլ/ժամ մմ Hg, թաղանթի նյութը՝ սինթետիկ, արդյունավետ մակերեսը 2.1 (+-0.1)մ2, թաղանթի հաստությունը 30-40մկմ, ներքին տրամաչափը 200մկմ+-10%, լցման ծավալը մինչև 125մլ,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ախտահանված լաբորատոր ախտորոշման համար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«Կոնտուր ինստանտ»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960մգ/մլ ապակե կամ պլաստիկե շշիկ 1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0,5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կավիճանման փոշի, 100գրամանոց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 Օգտագործման եղանակը յուրաքանչյուր 2 պրոցեդուրայից հետո ,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90*60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