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ՀՀԱՆՇՕԾ-2025/1/տպագրական ծառայություն</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ծառայություն&gt; ՓԲԸ-ի  կարիքների համար տպագրական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gyumrishbok.gnum@mail.ru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ՀՀԱՆՇՕԾ-2025/1/տպագրական ծառայություն</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ծառայություն&gt; ՓԲԸ-ի  կարիքների համար տպագրական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ծառայություն&gt; ՓԲԸ-ի  կարիքների համար տպագրական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ՀՀԱՆՇՕԾ-2025/1/տպագրական ծառայություն</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gyumrishbok.gnum@mail.ru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ծառայություն&gt; ՓԲԸ-ի  կարիքների համար տպագրական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100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400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2025.01.29.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ՀՀԱՆՇՕԾ-2025/1/տպագրական ծառայություն</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ՀՀԱՆՇՕԾ-2025/1/տպագրական ծառայություն</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ՀՀԱՆՇՕԾ-2025/1/տպագրական ծառայություն</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«ՀՀԱՆՇՕԾ-2025/1/տպագրական ծառայություն»*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ՀՀԱՆՇՕԾ-2025/1/տպագրական ծառայություն*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«ՀՀԱՆՇՕԾ-2025/1/տպագրական ծառայություն»*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ՀՀԱՆՇՕԾ-2025/1/տպագրական ծառայություն*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100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100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200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400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400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