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4</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ԵԲԿԷԱՃ25-4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ԵԲԿԷԱՃ25-4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4</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ԵԲԿԷԱՃ25-4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ԵԲԿԷԱՃ25-4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ԵԲԿԷԱՃ25-4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ԵԲԿԷԱՃ25-4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ԵԲԿԷԱՃ25-4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ԵԲԿԷԱՃ25-4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«ԵԲԿԷԱՃ25-4»*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ԲԺՇԿԱԿԱՆ ԿԵՆՏՐՈՆ ՓԲԸ*  (այսուհետ` Պատվիրատու) կողմից կազմակերպված` ԵԲԿԷԱՃ25-4*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«ԵԲԿԷԱՃ25-4»*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ԲԺՇԿԱԿԱՆ ԿԵՆՏՐՈՆ ՓԲԸ*  (այսուհետ` Պատվիրատու) կողմից կազմակերպված` ԵԲԿԷԱՃ25-4*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