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դիզելային վառեկանյութ և հեղուկացված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դիզելային վառեկանյութ և հեղուկացված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դիզելային վառեկանյութ և հեղուկացված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դիզելային վառեկանյութ և հեղուկացված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գազ`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կտրոններով, լիցքավորումը՝ Երևան քաղաքի և հարակից մարզերի լցակայաններից: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Սեզոնային,  դիզել,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կտրոններով, լիցքավորումը՝ Երևան քաղաքի և հարակից մարզերի լցակայաններից: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գազ`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գազ`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