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2025.01.20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ԵՊՀ-ԷԱՃԾՁԲ-25/33</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Фонд ЕГУ</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Ал. Манукяна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Приобретение услуг по анализу почв для нужд биологического факультета ЕГУ</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14:00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14:00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Арменуи Бадалян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gnumner@ysu.am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060710009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Фонд ЕГУ</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ԵՊՀ-ԷԱՃԾՁԲ-25/33</w:t>
      </w:r>
      <w:r w:rsidRPr="00A064D2">
        <w:rPr>
          <w:rFonts w:ascii="Calibri" w:hAnsi="Calibri" w:cs="Times Armenian"/>
          <w:i/>
          <w:lang w:val="ru-RU"/>
        </w:rPr>
        <w:br/>
      </w:r>
      <w:r w:rsidR="©0A7F" w:rsidRPr="00A064D2">
        <w:rPr>
          <w:rFonts w:ascii="Calibri" w:hAnsi="Calibri" w:cstheme="minorHAnsi"/>
          <w:szCs w:val="20"/>
          <w:lang w:val="af-ZA"/>
        </w:rPr>
        <w:t>2025.01.20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Фонд ЕГУ</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Фонд ЕГУ</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Приобретение услуг по анализу почв для нужд биологического факультета ЕГУ</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Приобретение услуг по анализу почв для нужд биологического факультета ЕГУ</w:t>
      </w:r>
      <w:r w:rsidR="00CC1843" w:rsidRPr="00A064D2">
        <w:rPr>
          <w:rFonts w:ascii="Calibri" w:hAnsi="Calibri"/>
          <w:b/>
          <w:lang w:val="ru-RU"/>
        </w:rPr>
        <w:t>ДЛЯ НУЖД</w:t>
      </w:r>
      <w:r w:rsidRPr="00F7430C">
        <w:rPr>
          <w:rFonts w:ascii="Calibri" w:hAnsi="Calibri" w:cs="Calibri"/>
          <w:b/>
          <w:u w:val="single"/>
          <w:lang w:val="af-ZA"/>
        </w:rPr>
        <w:t>Фонд ЕГУ</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ԵՊՀ-ԷԱՃԾՁԲ-25/33</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gnumner@ysu.am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Приобретение услуг по анализу почв для нужд биологического факультета ЕГУ</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физико-химических исследований почв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14:00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398.94</w:t>
      </w:r>
      <w:r w:rsidRPr="00DD1FC5">
        <w:rPr>
          <w:rFonts w:ascii="Calibri" w:hAnsi="Calibri"/>
          <w:szCs w:val="22"/>
        </w:rPr>
        <w:t xml:space="preserve"> драмом, российский рубль </w:t>
      </w:r>
      <w:r w:rsidRPr="009341B3">
        <w:rPr>
          <w:rFonts w:ascii="Calibri" w:hAnsi="Calibri"/>
          <w:lang w:val="hy-AM"/>
        </w:rPr>
        <w:t>3.8929</w:t>
      </w:r>
      <w:r w:rsidRPr="00DD1FC5">
        <w:rPr>
          <w:rFonts w:ascii="Calibri" w:hAnsi="Calibri"/>
          <w:szCs w:val="22"/>
        </w:rPr>
        <w:t xml:space="preserve"> драмом, евро</w:t>
      </w:r>
      <w:r w:rsidRPr="00405759">
        <w:rPr>
          <w:rFonts w:ascii="Calibri" w:hAnsi="Calibri"/>
          <w:lang w:val="hy-AM"/>
        </w:rPr>
        <w:t>410.95</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2025.01.31. 14:00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ԵՊՀ-ԷԱՃԾՁԲ-25/33</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ԵՊՀ-ԷԱՃԾՁԲ-25/33</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ԵՊՀ-ԷԱՃԾՁԲ-25/33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ЕГУ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"ԵՊՀ-ԷԱՃԾՁԲ-25/33"*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"ԵՊՀ-ԷԱՃԾՁԲ-25/33"</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Фонд ЕГУ*(далее — Заказчик) процедуре закупок под кодом ԵՊՀ-ԷԱՃԾՁԲ-25/33*.</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ԵՊՀ-ԷԱՃԾՁԲ-25/33</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"ԵՊՀ-ԷԱՃԾՁԲ-25/33"</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Фонд ЕГУ*(далее — Заказчик) процедуре закупок под кодом ԵՊՀ-ԷԱՃԾՁԲ-25/33*.</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ԵՊՀ-ԷԱՃԾՁԲ-25/33</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20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1</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одного</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физико-химических исследований почв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комплекс физико-химических исследований почвы входят:
1. Определение электропроводности (EC, насыщенного экстракта) (мкСм см-1)
2. Распределение частиц по размерам (текстура) – определение относительных пропорций песка, ила и глины (% по весу)
3. Определение углерода (неорганического (пересчитано на массу CaCO3), органического) (мг кг-1)
4. Определение катионообменной емкости (ЕКО) и обменных Ca, Mg, K, Na (смоль·кг-1)
5. Определение общего азота (мг кг-1)
6. Определение органического вещества (мг кг-1)
7. Определение pH (H2O).
8. Определение pH (KCl или CaCl2, обменная кислотность).
9. Определение доступного фосфора (мг л-1)
10. Определение растворенного Ca, Mg, Na, K (ммоль кг-1).
1 штука соответствует 1 образцу почвы, в котором следует провести комплексное исследование.
Исследования должны проводиться в лаборатории, сертифицированной по стандарту ISO/IEC 17025.
Результаты предоставить как в электронном, так и в бумажном варианте на официальном бланке.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соглашения, заключенного между сторонами  в течение 2 месяцев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