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բարձի երեսներ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բարձի երեսներ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բարձի երեսներ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բարձի երեսներ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բաց մոխրագույն, գործվածքից, 1մ2 մակերեսային խտությունը 140 գր, պատրաստի արտադրանքի չափսերը 60 սմ`(±1սմ) x 50 սմ` (±1սմ): Գործվածքի գծային չափսերի փոփոխությունը թաց մշակումից հետո չպետք է գերազանցի մինուս 5%:  Պատրաստի արտադրանքի դետալների ձևվածքն պետք է իրականացվի հենքային թելերի ուղղությամբ: 
Պատվիրատուի պահանջով պատրաստի արտադրանքի ներքևի ձախակողմյան հատվածում չմաքրվող ներկով պետք է դաջվի արտադրման ամիսը, տարեթիվը և ՔԿԾ գրառումը: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բարձի երեսի նուշը համաձայնացնել Գնորդի հետ: Մատակարարումների  իրականացման մոտավոր քանակները և հասցեները տես՝
Հավելված 1–ում: Բարձի երեսի նմուշը հաստատելուց հետո Վաճառողին կտրամադրվի ճշտված բաշխումը՝ տոկոսների փոխարեն քանակներով: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