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ՀԱՊՀ-ԷԱԱՊՁԲ-25/2</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25/2</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в индивидуальной упаковке, АСТ 31-99. Безопасность и маркировка: 9. Срок годности: Обязательное условие: перевозка осуществляется только транспортными средствами при наличии соответствующего разрешения, выданного Государственной администрацией транспорта и коммуникаций.
Доставка - ежедневно с февраля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из ржаной муки и смеси ржаной и пшеничной муки Выпускается штучно, в индивидуальной упаковке, АСТ 31-99. Безопасность и маркировка: МК ТК 021/2011 «О безопасности пищевых продуктов», МК ТК 022/2011 «О безопасности пищевых продуктов». 9 статьи Закона РА «О пригодности». Срок: в день доставки. Обязательное условие: перевозка только автотранспортом при наличии соответствующего разрешения ГУВД и связи.
Доставка - ежедневно с февраля по декабрь.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 декабря 2025 года. При этом срок поставки первого этапа должен быть установлен не менее 20 календарных дней, который исчисляется на дату вступления в силу условий реализации прав и обязанностей сторон, предусмотренных п. договора,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 декабря 2025 года. При этом срок поставки первого этапа должен быть установлен не менее 20 календарных дней, который исчисляется на дату вступления в силу условий реализации прав и обязанностей сторон, предусмотренных п. договора,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