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2025.01.22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ԱԲԿ-ԷԱՃ-ԱՊՁԲ-2025/7</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Արտաշատի բժշկական կենտրոն ՓԲԸ </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ՀՀ, Արարատի մարզ, ք. Արտաշատ, Ա. Խաչատրյան 116</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дизельного топлива 2025</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13</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13</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Հասմիկ Մկրտչյան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hasmikhasohaso@mail.ru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023525537</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Արտաշատի բժշկական կենտրոն ՓԲԸ </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ԱԲԿ-ԷԱՃ-ԱՊՁԲ-2025/7</w:t>
      </w:r>
      <w:r w:rsidRPr="00E4651F">
        <w:rPr>
          <w:rFonts w:asciiTheme="minorHAnsi" w:hAnsiTheme="minorHAnsi" w:cstheme="minorHAnsi"/>
          <w:i/>
        </w:rPr>
        <w:br/>
      </w:r>
      <w:r w:rsidR="00A419E4" w:rsidRPr="00E4651F">
        <w:rPr>
          <w:rFonts w:asciiTheme="minorHAnsi" w:hAnsiTheme="minorHAnsi" w:cstheme="minorHAnsi"/>
          <w:szCs w:val="20"/>
          <w:lang w:val="af-ZA"/>
        </w:rPr>
        <w:t>2025.01.22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Արտաշատի բժշկական կենտրոն ՓԲԸ </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Արտաշատի բժշկական կենտրոն ՓԲԸ </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дизельного топлива 2025</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дизельного топлива 2025</w:t>
      </w:r>
      <w:r w:rsidR="00812F10" w:rsidRPr="00E4651F">
        <w:rPr>
          <w:rFonts w:cstheme="minorHAnsi"/>
          <w:b/>
          <w:lang w:val="ru-RU"/>
        </w:rPr>
        <w:t xml:space="preserve">ДЛЯ НУЖД </w:t>
      </w:r>
      <w:r w:rsidR="0039665E" w:rsidRPr="0039665E">
        <w:rPr>
          <w:rFonts w:cstheme="minorHAnsi"/>
          <w:b/>
          <w:u w:val="single"/>
          <w:lang w:val="af-ZA"/>
        </w:rPr>
        <w:t>Արտաշատի բժշկական կենտրոն ՓԲԸ </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ԱԲԿ-ԷԱՃ-ԱՊՁԲ-2025/7</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hasmikhasohaso@mail.ru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дизельного топлива 2025</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дизельное топливо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398</w:t>
      </w:r>
      <w:r>
        <w:rPr>
          <w:rFonts w:ascii="Calibri" w:hAnsi="Calibri" w:cstheme="minorHAnsi"/>
          <w:szCs w:val="22"/>
        </w:rPr>
        <w:t xml:space="preserve"> драмом, российский рубль </w:t>
      </w:r>
      <w:r>
        <w:rPr>
          <w:rFonts w:ascii="Calibri" w:hAnsi="Calibri" w:cstheme="minorHAnsi"/>
          <w:lang w:val="af-ZA"/>
        </w:rPr>
        <w:t>3</w:t>
      </w:r>
      <w:r>
        <w:rPr>
          <w:rFonts w:ascii="Calibri" w:hAnsi="Calibri" w:cstheme="minorHAnsi"/>
          <w:szCs w:val="22"/>
        </w:rPr>
        <w:t xml:space="preserve"> драмом, евро </w:t>
      </w:r>
      <w:r>
        <w:rPr>
          <w:rFonts w:ascii="Calibri" w:hAnsi="Calibri" w:cstheme="minorHAnsi"/>
          <w:lang w:val="af-ZA"/>
        </w:rPr>
        <w:t>412</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2025.02.05.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ԱԲԿ-ԷԱՃ-ԱՊՁԲ-2025/7</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Արտաշատի բժշկական կենտրոն ՓԲԸ </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"ԱԲԿ-ԷԱՃ-ԱՊՁԲ-2025/7"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Արտաշատի բժշկական կենտրոն ՓԲԸ *(далее — Заказчик) процедуре закупок под кодом ԱԲԿ-ԷԱՃ-ԱՊՁԲ-2025/7*.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Արտաշատի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- 04220707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ՀԷԲ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- 163098222223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"ԱԲԿ-ԷԱՃ-ԱՊՁԲ-2025/7"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Արտաշատի բժշկական կենտրոն ՓԲԸ *(далее — Заказчик) процедуре закупок под кодом ԱԲԿ-ԷԱՃ-ԱՊՁԲ-2025/7*.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Արտաշատի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- 04220707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ՀԷԲ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- 163098222223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ԱԲԿ-ԷԱՃ-ԱՊՁԲ-2025/7</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дизельное топливо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Цетановое число не менее 51, цетановый индекс не менее 46, плотность при 150 С от 820 до 845 кг/м3, содержание серы не более 350 мг/кг, температура вспышки не ниже 550 С, коксуемость в осадке 10% не более 0,3%, вязкость при 400 С от 2,0 до 4,5 мм2/с, температура помутнения не выше 00 С, безопасность, маркировка и упаковка в соответствии с постановлением Правительства РА 2004 г. «Технический регламент на топлива для двигателей внутреннего сгорания», утвержденный постановлением от 11 ноября № 1592-НСрок поставки товара, а в случае поэтапной поставки - срок поставки на первом этапе, должен быть установлен не менее 20 календарных дней, исчисляемых с даты вступления в силу условия об исполнении прав и обязанностей. обязательства сторон, предусмотренные в договоре, за исключением случая, когда выбранный участник соглашается поставить товар в более короткий срок, а также в случае получения в течение 3 рабочих дней последующего заказа на поставку, соответствующего количеству товара/ товары, заказанные Покупателем. Срок поставки не может быть позднее 25 декабря данного года.
 Если в заявке выбранного участника указаны товары, произведенные более чем одним производителем, а также товары с разными торговыми марками, фирменными наименованиями и моделями, то в настоящее приложение включаются те из них, которые получили удовлетворительную оценку. Если в приглашении не предусмотрена идентификация товарного знака, фирменного наименования, модели товара, предлагаемого участником, и представления сведений о производителе, то графа «товарный знак, фирменное наименование, модель и наименование производителя» удаляется. Если это предусмотрено договором, Продавец также предоставляет Покупателю гарантийное письмо или сертификат соответствия от производителя товара или его представителя.
Если договор заключен на основании части 6 статьи 15 Закона РА «О закупках», то расчет срока в графе определяется в календарных днях, причем расчет ведется со дня заключения договора. силу договора, заключенного между сторонами, если предусмотрены финансовые ресурсы.
Поставка будет осуществляться по купону.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ресурсов — в срок не менее 20 календарных дней со дня вступления в силу договора, заключенного между сторонами, до 25.12.2025 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