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M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L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շտատիվ 40տեղ.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300*20սմ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M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размер M. Остаточный срок годности на момент поставки: не менее 75% для изделий со сроком годности до 1 года, не менее 2/3 для изделий со сроком годности до 1 года. Срок годности 1-2 года, от 2 лет Для продукции с увеличенным сроком годности не менее 15 месяцев. Наличие сертификатов качества.
В коробке не более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L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размер L. Остаточный срок годности на момент поставки: не менее 75% для изделий со сроком годности до 1 года, не менее 2/3 для изделий со сроком годности до 1 года. Срок годности 1-2 года, от 2 лет Для продукции с увеличенным сроком годности не менее 15 месяцев. Наличие сертификатов качества.
В коробке не более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маркировкой 10-15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скальпеля (стерилизованные): стерильные, одноразовые. Изготовлены из нержавеющей стали или углеродистой стали. Размер: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стекла 5/500, тканевая основа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белый хлопок, предназначенный для медицинских целей. Объем хлопка в одной коробке не превышает 50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резиновая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для маркировки на стекле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ланцетного лезвия, предназначен для многократного использования. Размер: N4.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շտատիվ 40տեղ.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стеллаж 40 мест, пластик,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300*20սմ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гипсовый слепок 300*20см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Формат: 50-100 штук. Тип образца: капиллярная кровь.
Метод измерения: электрохимический. Диапазон измерения: 0,6-33,3 ммоль/л. Время измерения: 5 сек. Объем крови: 0,6 мкл. Рабочая температура: 8-44 °C. Рабочая относительная влажность: 10-90%. Допустимый диапазон гематокрита: 10 -65%: Калибровка: Система калибруется с использованием венозной крови, что основано на методе гексокиназы и соответствует стандарту NIST. Фермент: Мут. Q- GDH 2 стабилен к воздействию кислорода. Срок годности тест-полоски не должен меняться независимо от условий открытия флакона. Система соответствует требованиям стандартов EN ISO 15197:2013, ISO 13485:2012. CE0123 - эта система соответствует стандартам Европейской директивы. Участник должен предоставить лицензию (разрешение) на реализацию на территории Республики Армения, утвержденную производителем. На момент поставки товар должен иметь срок годности не менее 1 (один) год, должен быть закрыт и иметь маркировку на русском языке с одной стороны.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улица 5, дом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