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 - Микробиологические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ՍՉԱՄ-ԷԱՃԱՊՁԲ-25/3</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 - Микробиологические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 - Микробиологические среды</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 - Микробиологические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ՍՉԱՄ-ԷԱՃԱՊՁԲ-25/3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ՍՉԱՄ-ԷԱՃԱՊՁԲ-25/3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селективная среда для выделения и дифференциации Listeria monocytogenes. Состав г/л. Мясной пептон 18,0, триптон 6,0, дрожжевой экстракт 10,0, пируват натрия 2,0, глюкоза 2,0, глицерофосфат магния 1,0, сульфат магния 0,5, хлорид натрия 5,0, хлорид лития 10,0, динатрийгидрофосфат 2,5, 5-бром-4-хлор-3 -индолил- β-D-глюпиранозид 0,05, агар 15,0, конечный pH 7,2 ± 0,2. Формат: пластиковые контейнеры по 100 грамм. Продукт должен иметь сертификат качества ISO 9001, ISO 13485 для каждой партии, CE, IVD. Должен быть Европейское производство.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 LISTERIA VEGETATION: В набор входят 4 флакона по 20 мл обогащающей добавки (состав: L-α-фосфатидилинозитол 1 г), 4 флакона селективной добавки глубокой заморозки (состав: налидиксовая кислота - 10 мг, цефтазидим - 10 мг, циклогексимид - 25 мг и Полимиксин B-38350 МЕ) и инструкция по применению. Должны быть европейского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вторичного обогащения Listeria spp. Состав г/л. Триптон 5,0, пептон 5,0, хлорид лития 3,0, мясной экстракт 5,0, дрожжевой экстракт 5,0, хлорид натрия 20,0, безводный фосфат натрия 9,5, фосфат калия 1,35, эскулин 1,0, налидиксовая кислота 0,02, акрифлавин 0,025, конечный pH=7,4 ± 0,2. Формат: Пластиковые контейнеры по 500 грамм. Продукт должен иметь сертификат качества ISO 9001, ISO 13485 на каждую партию, CE, IVD. Должен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первичного обогащения Listeria spp.
Триптон 5,0; пептон-5,0; дрожжевой экстракт - 5,0; натрия хлорид-20,0; натрий фосфорнокислый безводный 9,6; фосфат калия 1,35, эскулин 1,0; налидиксовая кислота 0,01, акрифлавин 0,0125, конечный pH=7,2 ± 0,2. Формат: пластиковые контейнеры по 500 грамм. Продукт должен иметь сертификат качества ISO 9001, ISO 13485 для каждой партии, CE, IVD. Должен быть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Добавка глубокой заморозки для бульона Listeria Fraser
В 1 коробке 10 флаконов.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 даты вступления договора в силу,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