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ԱԱՊԿ-ԷԱՃԱՊՁԲ-2025/03 ծածկագրով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ԱԱՊԿ-ԷԱՃԱՊՁԲ-2025/03 ծածկագրով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ԱԱՊԿ-ԷԱՃԱՊՁԲ-2025/03 ծածկագրով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ԱԱՊԿ-ԷԱՃԱՊՁԲ-2025/03 ծածկագրով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Ց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էպինեֆրին(ադրենալին)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/Դերմազին/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Սիլվադև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Քլորամֆենիկոլ,մեթիլուրացիլ/լևոմիկոլ/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 սպիրտային լ-թ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ամպ,4մգ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Մետամիզոլ(մետամիզոլի նատրիում) /Անալգին/ 50%2մլ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Ամինոֆիլին/Էուֆիլին/ամպ,2,4%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96%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70%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 ԻՋ ԱԱՊԿ-ԷԱՃԱՊՁԲ-2025/03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(2 մայիսի 2013 թվականի N 502-Ն որոշում);</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Ց 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Ց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էպինեֆրին(ադրենալին) 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էպինեֆրին(ադրենալին) 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քսուք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/Դերմազին/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/Դերմազին/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Սիլվադև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Սիլվադև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Քլորամֆենիկոլ,մեթիլուրացիլ/լևոմիկոլ/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Քլորամֆենիկոլ,մեթիլուրացիլ/լևոմիկոլ/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քսուք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 սպիրտային լ-թ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 սպիրտային լ-թ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ամպ,4մգ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ամպ,4մգ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Մետամիզոլ(մետամիզոլի նատրիում) /Անալգին/ 50%2մլ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Մետամիզոլ(մետամիզոլի նատրիում) /Անալգին/ 50%2մլ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Ամինոֆիլին/Էուֆիլին/ամպ,2,4%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Ամինոֆիլին/Էուֆիլին/ամպ,2,4%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Դիֆենհիդրամին/Դիմեդրոլ/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Դիֆենհիդրամին/Դիմեդրոլ/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96%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96%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70%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70%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