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 для нужд СГО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PPC-EAAPDZB-2025/7</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 для нужд СГО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 для нужд СГО</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 для нужд СГО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PPC-EAAPDZB-2025/7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PPC-EAAPDZB-2025/7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 0С 820-845 кг/м3.
Массовая доля полициклических ароматических углеводородов: не более 11%. Содержание серы: не более 10 мг/кг.
Температура вспышки: не ниже 55 0С.
Коксуемость/ в 10% осадке не более 0,3%. Вязкость при 40 0С: от 2,0 до 4,5 мм2/с.
Температура помутнения: не выше 5 0С.
Часть топлива поставляется по талонам.
Безопасность, маркировка и упаковка согласно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утвержденному Решением Комиссии Таможенного союза от 18 октября 2011 г. 2011 № 826.
Продавец также предоставляет Покупателю сертификат соответствия от производителя товара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3-ый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2025 года,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