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18G  Braun-ին համարժեք       
Պահպաանման ժամկետները,չափի միավորները,մատակարարման պաայմանները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20G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ասեղ 18G 1,3*120մմ-150մմ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   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0,թելի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ծակող ուժեղացված 1/2 կորության  36մմ-40մմ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2/0,թելի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ուժեղացված 1/2 կորության  36մմ -40մմ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1թելի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ծակող ուժեղացված 1/2 կորության  36մմ-40մմ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3/0 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ծակող ուժեղացված 1/2 կորության  36մմ-40մմ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4/0  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ծակող ուժեղացված 1/2 կորության  26մմ-30մմ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չներծծվող։Պատրաստված է պոլիէսթերից։Թելը պետք է  ներկված լինի կոնտրաստ գույնով վերքի մեջ լավագույն վիզուալիզացիան ապահովելու համար։Պայմանական  չափը  2/0։Թելի երկարությունը 75սմ+-5սմ,Ասեղը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համաձուլվածքի  որակին։Ասեղները ծակող,26մմ-30մմկրկնակի կորությունը1/2  2*25մմ+-1մմ  երկարությամբ տրամագիծը 0,68մմ։ 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 ՌՈՒԼՈՆ 50*17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ՈՒՂՈՐԴԻՉՈՎ N18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ՈՒՂՈՐԴԻՉՈՎ N16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ԼՈՒԾՈՒՅԹՆԵՐԻ   ՆԵՐԱՐԿՄԱՆ    ՀԱՄԱԿԱՐԳ  ԱՍԵՂ   21Գ*1       1/2   մ/զերծ։ԽՈՂՈՎԱԿԸ ԼԻՆԻ ՀԱՐԹ,ԱՌԱՆՑ ԾԱԼՔԵՐԻ։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 մանրեազերծ  /MEDIUM  LARGE  LIGATION CLIPS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մանրեազերծ  EXTRA LARGE  LIGATION CLIPS     դարչնագույն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մանրեազերծ  LARGE  LIGATION CLIPS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ՄԱՆՐԷԱԶԵՐԾ/մինչև-5գ-ոց   հերմետիկ փակ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ԽՈԼԵԴՈԽԻ T-աձև  դրենաժ սիլիկոնե    չափսը 15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18*18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/ԿՈՆՑԵՆՏՐԻԿ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ատրավմատիկ  ծայրով,  հիգիենիկ  ներարկման  LUER  LOCK  պորտով,տեղադրված  է  թևիկների  վրա,պատրաստված  է  պոլիուրետինից,արտաքին  դիամետրը  20,1.1,32մմ  54մլ/րոպե,ստերիլ, վարդագույն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ատրավմատիկ  ծայրով,  հիգիենիկ  ներարկման  LUER  LOCK  պորտով,տեղադրված  է  թևիկների  վրա,պատրաստ ված  է  պոլիուրետինից,արտաքին  դիամետրը  3/25մմ  36մլ/րոպե,ստերիլ,կապույտ  գույն  համարժեք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ատրավմատիկ  ծայրով,  հիգիենիկ  ներարկման  LUER  LOCK  պորտով,տեղադրված  է  թևիկների  վրա,պատրաստված  է  պոլիուրետինից,արտաքին  դիամետրը  24x0,7x19մմ  15մլ/րոպե,ստերիլ, դեղին  գույն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16G -14G  ըստ պատվիրատուի պահանջի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կոագուլյատորի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Ա-ՏԻՊԻ 10000 ՄԵ/ ԴՈԶԱ   2,33 ՄԼ 1ԴՈԶԱ/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Բ-ՏԻՊԻ 5000 ՄԵ/ ԴՈԶ Ա  8,4 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Ե-ՏԻՊԻ 10000ՄԵ/ ԴՈԶ Ա  5,0ՄԼ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3000 ՄԵ           2,5 ՄԼ  /ենթամաշկային/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ՊԱՏՐԱՍՏԻ ՆԵՐԿԱՆՅՈՒԹ 5Լ/ԿԱՊՈՒՅՏ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2մ*80սմ / միայն մուգ կապույտ կամ կանաչ գույնի ոչ գործվածքային, խիտ, անթափանց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պասիվ էլեկտրոդ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N6,5     լատեքս  փոշիով     զույգ կամ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N7,5      լատեքս  փոշիով     զույգ կամ N2լատեքսը  չլինի  թույլ,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N8      լատեքս  փոշիով     զույգ կամ N2  լատեքսը  չլինի  թույլ, ,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ՄԱՆՐԵԱԶԵՐԾ   M   և  L լատեքս  փոշիով ,լատեքսը  չլինի  թույլ, ,ամուր հագնի դաստակին,գույնը կապ չունի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ԿԱՊՈՒՅՏ   ՆԻՏՐԻԼ   /լինի ամուր  շուտ չպատռվող/    ԱՌԱՆՑ  ՓՈՇԻ    L    և    M    տեսակի,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Հելիկոբակտեր  պիլորի որոշման թեստ, ստամոքսի լորձաթաղանթով  /ուրեազային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թեսթեր /Ռապիդ թեսթ կասետներով   /Accu-Tell- կամ համարժեք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