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2025.02.04.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հիմնական չափսերը` 330x440 մմ, շեղում ± 1%:
Ձևաթղթերի թղթի տեսակը` օֆսեթ, խտությունը՝ 80 գ/քմ, շեղում ± 2%:
Տպագրություն` միակողմանի (մեկ գույնով), անհրաժեշտության դեպքում՝ համարակալմամբ: 
Այլ պայմաններ.
Ծալքուղու (биговка) բացում, նշված տեսակի ձևաթղթի տպագրությունը ենթադրում է տեքստային բովադակության 7 տարբեր տեքստեր:
Առավելագույն քանակը՝ 14300 (տասնչորս հազար երեք հարյուր)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նախապես Պատվիրատուի հետ համաձայնեցնելով մատակարարման կոնկրետ հասցեն: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հիմնական չափսերը` 330x440 մմ, շեղում ± 1%: Ձևաթղթերի թղթի տեսակը` թուղթ խրոմերզաց` միակողմանի կավճապատ, թղթի խտությունը՝ 300 գ/քմ, շեղում ± 1%:
Տպագրությունը` միակողմանի (մեկ գույնով), անհրաժեշտության դեպքում՝ համարակալմամբ:
Այլ պայմաններ.
Ծալքուղու (биговка) բացում, նշված տեսակի ձևաթղթի տպագրությունը ենթադրում է  տեքստային բովադակության 60 տարբեր տեքստեր:
Առավելագույն քանակը՝ 131450 (մեկ հարյուր երեսունմեկ հազար չորս հարյուր հիսուն)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նախապես Պատվիրատուի հետ համաձայնեցնելով մատակարարման կոնկրետ հասցեն: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19-ը։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19-ը։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