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ԱԱԾ-ՌԲՎ-ԷԱՃԱՊՁԲ-25/2-ԱՆԱՍՆԱԲՈՒԺԱԿԱՆԴԵՂՈՐԱՅՔևԲՆԱ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անասնաբուժական դեղորայքի և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anush.harutyunyan@sns.am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ԱԱԾ-ՌԲՎ-ԷԱՃԱՊՁԲ-25/2-ԱՆԱՍՆԱԲՈՒԺԱԿԱՆԴԵՂՈՐԱՅՔևԲՆԱ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անասնաբուժական դեղորայքի և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անասնաբուժական դեղորայքի և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ԱԱԾ-ՌԲՎ-ԷԱՃԱՊՁԲ-25/2-ԱՆԱՍՆԱԲՈՒԺԱԿԱՆԴԵՂՈՐԱՅՔևԲՆԱ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anush.harutyunyan@sns.am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անասնաբուժական դեղորայքի և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ԱԱԾ-ՌԲՎ-ԷԱՃԱՊՁԲ-25/2-ԱՆԱՍՆԱԲՈՒԺԱԿԱՆԴԵՂՈՐԱՅՔևԲՆԱ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ԱԱԾ-ՌԲՎ-ԷԱՃԱՊՁԲ-25/2-ԱՆԱՍՆԱԲՈՒԺԱԿԱՆԴԵՂՈՐԱՅՔևԲՆԱ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ԱԱԾ-ՌԲՎ-ԷԱՃԱՊՁԲ-25/2-ԱՆԱՍՆԱԲՈՒԺԱԿԱՆԴԵՂՈՐԱՅՔևԲՆԱ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ԱԱԾ-ՌԲՎ-ԷԱՃԱՊՁԲ-25/2-ԱՆԱՍՆԱԲՈՒԺԱԿԱՆԴԵՂՈՐԱՅՔևԲՆԱ»*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ԱԱԾ-ՌԲՎ-ԷԱՃԱՊՁԲ-25/2-ԱՆԱՍՆԱԲՈՒԺԱԿԱՆԴԵՂՈՐԱՅՔևԲՆԱ*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- 900011301075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ԱԱԾ-ՌԲՎ-ԷԱՃԱՊՁԲ-25/2-ԱՆԱՍՆԱԲՈՒԺԱԿԱՆԴԵՂՈՐԱՅՔևԲՆԱ»*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ԱԱԾ-ՌԲՎ-ԷԱՃԱՊՁԲ-25/2-ԱՆԱՍՆԱԲՈՒԺԱԿԱՆԴԵՂՈՐԱՅՔևԲՆԱ*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- 900011301075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Միջատատզասպան կաթիլներ, արտաքին կիրառման: Ֆիպրոնիլ, դիֆլուբենզուրոն, դիկարբօքսիմիդ 50մգ/մլ+1մգ/մլ + 5մգ/մլ, 1.4 մլ կաթոցիկ տարրա պոլիէթիլենային կաթոցիչներ: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 400մլ, ապակե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360մգ: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Վիտամինա-հանքային կերային հավելում շների համար: Դեղատատեր-պարունակում է վիտամիններ A, B խմբի, C, D, E, K, PP , բիոտին և միկրոէլեմենտներ ` կալցիում, ֆոսֆոր, մանգան, մագնեզիում, ցինկ, երկաթ, պղինձ, կոբալտ:1 դեղահատը 10կգ կենդանի քաշին: Վիտամինների և միկրոէլեմենտների պարունակությունը և դեղաչափերը կախված են  կերային հավելման տեսակից: Տեսակի ընտրությունը ըստ պատվիրատուի պահանջի: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թափանցիկ ներարկման լուծույթ ե/մ կամ մ/մ ներարկման համար10մլ ապակե սրվակ : Հոմեոպատիկ, կոմբինացված դեղամիջոց: Պարունակում է մատրիցային թուրմեր, բուսական, օրգանական ծագման և հանքային բսղադրիչներ 1000մլ-ում՝ Apis mellifica Ø=D1- 1նլ, Calcium fluoratum D4 trituration-0.1մկգ, Causticum Hahnemanni D4 trituration-1մգ, Ledum palustre Ø=D1-0.2մկլ, Lithium carbonicum Ø=D2-1պլ, Rhododendron Ø=D1-20մկլ, Rhus toxicodendron Ø-4մկլ, Sulfur Ø=D4-100մկլ, Symphytum Ø-9մկլ և թրատերև -40նլ: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Պոլիպրենոլֆոսֆատի – դինատրիումական աղ 4մգ/1մլ:  Անգույն կամ դեղնավուն թափանցիկ ներարկման լուծույթ առանց նստվածքի և խառնուրդի 10մլ ապակե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սուսպենզիա սպիտակ –պենիցիլին G պրոկային, դիհիդրոստրեպտոմիցին սուլֆատ, պրոկային հիդրոքլորիդ,  բետամեթազոն, քլորֆենիրամին մալեատ 200000ՄՄ/մլ+250մգ/մլ+15մգ/մլ+0.5մգ/մլ+8մգ/մլ, 100մլ մուգ ապակե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4 հիվանդության / ժանտախտ, ինֆեկցիոն հեպատիտ, պարվովիրուսային էնտերիտ, պարագրիպ/ դեմ պատվաստանյութ: Լիոֆիլիզատ ներարկման սուսպենզիայի պատրաստման համար: 1մլ համարժեք է 1 դոզային համարժեք է 1 հատին: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  շների 2 հիվանդության /կատաղություն և լեպտոսպիրոզ/դեմ: Ներարկման սուսպենզիա ապակյա սրվակում: 1մլ համարժեք է 1 դոզային համարժեք է 1 հատին:Հանձման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1 հիվանդության /լեպտոսպիրոզ/ դեմ պատվաստանյութ:  Ներարկման սուսպենզիա ապակե սրվակում: 1մլ համարժեք է 1դոզային համարժեք է 1 հատին: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օգտագործման համար150գ: Պարունակում է ծծումբ 10գ, ցինկի օքսիդ 10գ -100 գրամում: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20մլ: Պարունակում է պիրանտելպամոատ 15մգ/մլ և պրազիկվանտել 5մգ/մլ: Բաց դեղնավուն հեղուկ, ներքին օգտագործման համար: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պատվաստանյութ
TM- դերմատոմիկոլ,     1-ական դոզա /0,6մլ/ ապակե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օգտագործման համար 250գ: Պարունակում է Քլորամֆենիկոլ 0.75գ, մեթիլուրացիլ 4գ -100 գրամում: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օգտագործման համար 200գ: Պարունակում է  Իխթիոլ 10գ -100 գրամում: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 ցողացիր արտաքին կիրառման /, որը պարունակում է օքսիտետրացիկլին հիդրոքլորիդ 35.8մգ/մլ , 1 հատը համարժեք է 200մլ/ պարունակում է 140գ լուծույթ/: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Միջատատզասպան լուծույթով վզկալ առնվազն 80սմ /ֆիպրոնիլ 40մգ/գ, դիֆլուբենզուրոն 1մգ/գ/: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 պարունակում է մելօքսիկամ 2մգ/մլ, 20մլ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 թեսթ CPV պարվովիրուսային էնտերիտ շների ինֆեկցիոն հիվանդությունների ախտորոշման համար: 10×թիթեղապատ փաթեթով, յուրաքանչյուրը պարունակում է 1սկավառակ, 1  կաթոցիկ, ջրազրկիչ: 10× փորձանոթ բուֆեր լուծույթ /1,0մլ/:Հանձման պահին պիտանելիության ժամկետի առկայություն*(տես ծանոթությունը):Ֆիրմայի  նշումով: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 թեսթ LSH շների լեշմանիոզի ախտորոշման համար: 10×թիթեղապատ փաթեթով, յուրաքանչյուրը պարունակում է 1սկավառակ, 1  կաթոցիկ, ջրազրկիչ: 10× փորձանոթ բուֆեր լուծույթ /1,0մլ/:Հանձման պահին պիտանելիության ժամկետի առկայություն*(տես ծանոթությունը):Ֆիրմայի  նշումով: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Գլյուտարալդեհիդ  50մգ/մլ, գլիօքսալ  50մգ/մլ, ալկիլդիմեթիլբենզիլամոնիումի քլորիդ  100 մգ/մլ 
-գազարագույն ,  յուրահատուկ  հոտով հեղուկ:Փաթեթավորումը՝  1լ ոչ պակաս  պոլիէթիլենային տարրաներով: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համար նախատեսված արյունաբանական անալիզատորի ռեակտիվներ
V-28 E E-Z- CLEANSER /100ml/
V-28 CFL LYSE /180ml/
V-28R RINSE /2,3l/
V-28D DILUEN /5,5l/
V-28P PROBE CLEANSER /17ml/ Հանձնելու պահին պիտանիության ժամկետի առկայություն *(տես ծանոթությունը) ֆիրմային նշումով: Պահպանման պայմանները
«պահել չոր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