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ԿՇՄՊ-ԷԱՃԱՊՁԲ-25/13 ծածկագրով էլեկտրոնային աճուրդ ընթացակարգով պարարտանյութերի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ԿՇՄՊ-ԷԱՃԱՊՁԲ-25/13 ծածկագրով էլեկտրոնային աճուրդ ընթացակարգով պարարտանյութերի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ԿՇՄՊ-ԷԱՃԱՊՁԲ-25/13 ծածկագրով էլեկտրոնային աճուրդ ընթացակարգով պարարտանյութերի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ԿՇՄՊ-ԷԱՃԱՊՁԲ-25/13 ծածկագրով էլեկտրոնային աճուրդ ընթացակարգով պարարտանյութերի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բույսերի պրոֆիլակտիկ սնուցման համար, որը ապահովում է բույսի կողմից մակրո և միկրոտարրերի անմիջական կլանում:           N30-P10-K10+ТЕ կամ N30-P10-K5+ТЕ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բույսերի պրոֆիլակտիկ սնուցման համար, որը ապահովում է բույսի կողմից մակրո և միկրոտարրերի անմիջական կլանում:          N18-21 P18-21K18-21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բույսերի ցրտադիմացկունության բարձրացման համար, որը ապահովում է բույսերի հաջող ձմեռումը: Բացառապես չի պարունակում N:                P45-55K30-40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