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двойное преобразование (Онлайн) для монтажа в 19-дюймовую стойку (rack mount)
С дополнительным блоком батарей
Время работы при нагрузке 50% (5000 Вт) - не менее 30 минут
Размер системы - не более 11U
Входное напряжение - 220/ 230 / 240 В
Частота сети - не менее 40-70 Гц (автоматическое
определение)
Пределы входного напряжения - при 100% (полной нагрузке) не менее чем 176-300 В
Выходная мощность в В - не менее 10 000 ВА
Выходная мощность в Вт - не менее 10 000 Вт
Выходное напряжение - 220 / 230 / 240 В
Гармонические искажения - не более 1%
Тип волны - синусоидальная волна
Выходная частота - не менее 50/60 Гц +/- 3Гц
Тип байпаса - внутренний байпас (автоматический и ручной)
Эффективность - не менее 94% (полная нагрузка)
Панель управления - многофункциональный ЖК-дисплей состояния и управления
Рабочая температура- 0° - 40°C
Относительная влажность - 0-95% (non-condensing)
Уровень шума - менее 60 дБА
Сигнализация - сигнализация при работе от аккумулятора / сигнализация о низком заряде аккумулятора / перегрузка
Предлагаемое оборудование должно быть новым, не бывшим в употреблении, должно обслуживаться в течение гарантийного срока не менее 2 лет с момента поставки (не менее 2 лет для аккумуляторов), наличие минимум одного сертифицированного сервис центра в Республике Армения, сертифицированным производителем оборудования.
Сертификация и стандарты
Оборудование должно иметь/соответствовать: сервисный центр в Республике Армения, а  участник, занявший первое место, должен предоставить копию лицензии Лицензированного гарантийного сервисного центра, упомянутого выше, а также Письмо производителя (MAF).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0022, ул: Ачаряна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