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հուշանվերների  ձեռքբերում ՀՀ ՆԳՆ ԷԱՃԱՊՁԲ-2025/Է-16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հուշանվերների  ձեռքբերում ՀՀ ՆԳՆ ԷԱՃԱՊՁԲ-2025/Է-16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հուշանվերների  ձեռքբերում ՀՀ ՆԳՆ ԷԱՃԱՊՁԲ-2025/Է-16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հուշանվերների  ձեռքբերում ՀՀ ՆԳՆ ԷԱՃԱՊՁԲ-2025/Է-16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ԷԱՃԱՊՁԲ-2025/Է-16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Մեխանիզմը` մեխանիկական 17 քար: Արտաքին չափսեր` տրամաչափ` առնվազն 42 մմ, բարձրություն` առնվազն 9 մմ: Իրան` արծաթ -925 հարգի, բարձր հարգի ոսկեպատ ոչ պակաս քան 3 մկն.: Ջրադիմացկունությունը ոչ պակաս 3 մթն.: Իրանի քաշը`ոչ պակաս 26 գրամ: Գույնը՝ դեղին, ապակին` շափյուղա, գոտին` բնական կաշի: Կափարիչը շափյուղյա ապակիով ոչ պակաս 27մմ, որտեղից երևում է մեխանիզմի աշխատանքը, իսկ մնացած մասում լազերային փորագրված` ««ՀՀ ՆԳ ՆԱԽԱՐԱՐԻՑ»» (համապատասխան լեզվով): Ժամացույցները պետք է լինեն համարակալված: Թվատախտակի կենտրոնում պետք է պատկերված լինի ՀՀ զինանշանը: Բոլոր ժամացույցները պետք է ունենան վկայական,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Մեխանիզմը՝ մեխանիկական 17 քար
Արտաքին չափսերը՝առնվազն Փ34մմ, բարձրությունը առնվազն 8.5 մմ: Ժամացույցի իրանը՝ արծաթ 925 հարգի, ոսկեպատ՝ բարձր հարգի /ոչ պակաս քան 3 մկն շերտի հաստությամբ/: Իրանի քաշը  ոչ պակաս 9.5 գրամ: Զարդարված է կիսաթանկարժեք քարերով /ցերկոն/, ապակին հանքային, գոտին՝ բնական կաշի: Թվատախտակը՝ դեղին գույնի, իսկ կենտրոնում պատկերված ՀՀ  զինանշանը: Ժամացույցի կափարիչի վրա փորագրված՝ «ՀՀ ՆԳ ՆԱԽԱՐԱՐԻՑ» (համապատասխան լեզվով): Ժամացույցները պետք է լինեն համարակալված: Բոլոր ժամացույցների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հատը 30 օրվա ընթացքում,   25 հատը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 հատը 30 օրվա ընթացքում,   20 հատը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