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ТРАНСФОРМАЦИЯ РАННЕГО ОБРАЗОВАНИЯ ДЛЯ ЗЕЛЕНОГО И ЦИФРОВОГО ПЕРЕХОДА В АРМЕНИИ И МОЛДОВЕ В РАМКАХ ПРОГРАММЫ ФОНДА КОМПЬЮТЕРНЫХ ТЕХНОЛОГИЙ ШИРАКСКОГО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Сусанна Аветисян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+374 98 59 49 12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ՀՊՄՀ-ԷԱՃԱՊՁԲ-25/8</w:t>
      </w:r>
      <w:r>
        <w:rPr>
          <w:rFonts w:ascii="Calibri" w:hAnsi="Calibri" w:cstheme="minorHAnsi"/>
          <w:i/>
        </w:rPr>
        <w:br/>
      </w:r>
      <w:r>
        <w:rPr>
          <w:rFonts w:ascii="Calibri" w:hAnsi="Calibri" w:cstheme="minorHAnsi"/>
          <w:szCs w:val="20"/>
          <w:lang w:val="af-ZA"/>
        </w:rPr>
        <w:t>2025.01.27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ТРАНСФОРМАЦИЯ РАННЕГО ОБРАЗОВАНИЯ ДЛЯ ЗЕЛЕНОГО И ЦИФРОВОГО ПЕРЕХОДА В АРМЕНИИ И МОЛДОВЕ В РАМКАХ ПРОГРАММЫ ФОНДА КОМПЬЮТЕРНЫХ ТЕХНОЛОГИЙ ШИРАКСКОГО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ТРАНСФОРМАЦИЯ РАННЕГО ОБРАЗОВАНИЯ ДЛЯ ЗЕЛЕНОГО И ЦИФРОВОГО ПЕРЕХОДА В АРМЕНИИ И МОЛДОВЕ В РАМКАХ ПРОГРАММЫ ФОНДА КОМПЬЮТЕРНЫХ ТЕХНОЛОГИЙ ШИРАКСКОГО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ТРАНСФОРМАЦИЯ РАННЕГО ОБРАЗОВАНИЯ ДЛЯ ЗЕЛЕНОГО И ЦИФРОВОГО ПЕРЕХОДА В АРМЕНИИ И МОЛДОВЕ В РАМКАХ ПРОГРАММЫ ФОНДА КОМПЬЮТЕРНЫХ ТЕХНОЛОГИЙ ШИРАКСКОГО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398.27</w:t>
      </w:r>
      <w:r>
        <w:rPr>
          <w:rFonts w:ascii="Calibri" w:hAnsi="Calibri" w:cstheme="minorHAnsi"/>
          <w:szCs w:val="22"/>
        </w:rPr>
        <w:t xml:space="preserve"> драмом, российский рубль </w:t>
      </w:r>
      <w:r>
        <w:rPr>
          <w:rFonts w:ascii="Calibri" w:hAnsi="Calibri" w:cstheme="minorHAnsi"/>
          <w:lang w:val="af-ZA"/>
        </w:rPr>
        <w:t>4.0524</w:t>
      </w:r>
      <w:r>
        <w:rPr>
          <w:rFonts w:ascii="Calibri" w:hAnsi="Calibri" w:cstheme="minorHAnsi"/>
          <w:szCs w:val="22"/>
        </w:rPr>
        <w:t xml:space="preserve"> драмом, евро </w:t>
      </w:r>
      <w:r>
        <w:rPr>
          <w:rFonts w:ascii="Calibri" w:hAnsi="Calibri" w:cstheme="minorHAnsi"/>
          <w:lang w:val="af-ZA"/>
        </w:rPr>
        <w:t>414.32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ՀՊՄՀ-ԷԱՃԱՊՁԲ-25/8</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ՀՊՄՀ-ԷԱՃԱՊՁԲ-25/8</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Print, Scan, Copy, Fax with ADF, Color jet, թղթի ֆորմատ՝ A3+ / Print Method: PrecisionCoreTM Printhead/ Minimum Ink Droplet Volume: 2.8 pl/ Print Direction: Bi-directional printing, Uni-directional printing/ Nozzle Configuration: 400 x 2 nozzles Black, 128 x 2 nozzles per colour (Cyan, Magenta, Yellow)/ Maximum Resolution: 4,800 x 2,400 dpi (with Variable-Sized Droplet Technology) / Automatic 2-sided Printing: up to A3/ Scanning  Optical Resolution: 1200 x 2400 dpi/ USB: Hi-Speed USB 2.0/ Network: Ethernet, Wi-Fi IEEE 802.11 b/g/n, Wi-Fi Direct/ ՄԱՆԿԱՎԱՐԺԱԿԱՆ ԿՐԹՈՒԹՅԱՆ ՓՈԽԱԿԵՐՊՈՒՄԸ ՀԱՆՈՒՆ ԿԱՆԱՉ ԵՎ ԹՎԱՅԻՆ ԱՆՑՄԱՆ ՀԱՅԱՍՏԱՆՈՒՄ ԵՎ ՄՈԼԴՈՎԱՅՈՒՄ ԾՐԱԳՐԻ շրջանակներում տվյալ գնման առարկան ազատված է ավելացված արժեքի հարկերից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 Мец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