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ԷԱՃԱՊՁԲ-2025/Է-18  ծածկագրով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ԷԱՃԱՊՁԲ-2025/Է-18  ծածկագրով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ԷԱՃԱՊՁԲ-2025/Է-18  ծածկագրով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ԷԱՃԱՊՁԲ-2025/Է-18  ծածկագրով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ԷԱՃԱՊՁԲ-2025/Է-18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ունակությունը-70Ա/Ժ, Բևեռականությունը-Հակադարձ կամ 0:Սառը պարպման հոսանքը EN (ոչ պակաս)-720A: Երկարություն/Լայնություն/Բարձրություն (ոչ ավել)-278/175/190մմ: Չօգտագործված, թողարկված 2024 թվական: Երաշխիքային ժամկետը՝ շահագործման օրվանից առնվազն 6 ամիս: Մարտկոցի քաշը ոչ պակաս 19․5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