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узел (Dual Node), один масштабируемый процессор Intel 4-го поколения Xeon. 2 разъема PCIe Gen5 x16 HHHL и 2 разъема PCIe Gen5 x8 HHHL. Резервный источник питания мощностью 2000 Вт(источник питания), 24 2,5-дюймовых отсека для дисков NVMe с возможностью горячей замены, минимум: 2 процессора Intel Xeon Platinum 8558U (процессор) 48 ядер (260 МБ кэш-памяти, 2,00/4,00 ГГц) 300 Вт, минимум: 8x64 ГБ 5600 МТ/с DDR5 ECC зарегистрированный (зарегистрированный) модуль DIMM (модуль). pm9a3 NVMe PCIe Gen4 V6 M.2 22x110 м, V-образный и TLC, 2,5 дюйма U.2, скорость последовательного чтения 6500 МБ/с, скорость записи 1500 МБ/с, ран 4 КБ. Чтение (QD32) 580 КБ, 4 КБ РАН. Запись (QD32) 70 КИОПС, MTBF 2,0 миллиона часов. Как минимум: 4 корпоративных твердотельных накопителя емкостью 7,68 ТБ NVMe 15 мм 2,5 дюйма U.2 / U.3 двухпортовый PCIe4.0x4 TLC is 1dwpd функции: аппаратное шифрование (аппаратное шифрование), тип памяти (тип памяти) Битс5 3D TLC NAND Y NVMe версия 1.4 PCI Express interface полосы передачи данных x4 скорость чтения (операции ввода-вывода при чтении) (макс. Скорость записи (ввод-вывод при записи) (макс., 4 Гб в секунду) 80 тыс. операций ввода-вывода в секунду, задержка чтения (задержка чтения) 78 МКС объем SSD (емкость) 7680 ГБ форм-фактор SSD U.3 интенсивное чтение целевой рабочей нагрузки (RI) с неустранимой частотой ошибок в битах (неустранимая частота ошибок в битах) (UBER) « 1 для чтения с задержкой записи 10^17 бит (задержка записи) 15 мкс условия эксплуатации рабочая температура: (T-T) 0 - 70 °C. Справка от дистрибьютора, работающего в Армении, о том, что продукт произведен для потребления и обслуживания в регионе, охватывающем Армению: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