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 ծածկագրով սերվերի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 ծածկագրով սերվերի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 ծածկագրով սերվերի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 ծածկագրով սերվերի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Կրկնկի հանգույց (Dual Node), Single Intel 4th Gen Xeon Scalable պրոցեսոր. 2x PCIe Gen5 x16 HHHL slot and 2x PCIe Gen5 x8 HHHL Slot. Redundant 2000W հոսանքի աղբյուր(Power Supply), 24x 2.5" NVMe hot-swappable drive bays, Առնվազն՝   2x Intel Xeon Platinum 8558U պրոցեսոր (Processor) 48 միջուկներ (Cores) (260M Cache, 2.00/4.00 Ghz) 300W, Առնվազն՝  8x64GB 5600MT/s DDR5 ECC գրանցված (Registered) DIMM մոդուլ (Module): Առնվազն՝ 2x 960GB PM9A3 NVMe PCIe Gen4 V6 M.2 22x110M, V-NAND TLC, 2.5 inch U.2, հաջորդական կարդալու արագությունը 6,500 MB/s, գրելու արագությունը 1,500 MB/s , 4KB Ran. Read (QD32) 580 KIOPS, 4KB Ran. Write (QD32) 70 KIOPS, MTBF 2.0 million hours։ Առնվազն՝ 4x 7.68TB enterprise SSD NVMe 15mm 2.5" U.2/U.3 DualPort PCIe4.0x4 TLC ISE 1DWPD Հատկություններ՝ Սարքավորումների կոդավորումը (Hardware encryption),  հիշողության տիպը (Memory type) BiCS5 3D TLC NAND Y NVMe version 1.4 PCI Express interface data lanes x4 կարդալու արագությունը (Read IOPS) (max, Rnd 4KiB) 980K IOPS. Գրելու արագությունը (Write IOPS) (max, Rnd 4KiB) 80K IOPS, կարդալու ուշացում (Read latency) 78μs SSD Ծավալը (capacity) 7680 GB SSD ֆորմ ֆակտոր U.3 Target workload Read Intensive (RI) Անուղղելի բիթային սխալի մակարդակ (Uncorrectable Bit Error Rate) (UBER) « 1 per 10^17 bits read Գրելու ուշացում (Write latency) 15 μs Operational conditions Աշխատանքային ջերմաստիճանը՝  (T-T) 0 - 70 °C։ Կոմպլեկտավորումը և փաթեթավորումը գործարանային: ՀՀ-ում գործող դիստրիբյուտորի կողմից տեղեկանք այն մասին, որ ապրանքն արտադրված է ՀՀ-ն ընդգրկող տարածաշրջանում սպառման և սպասարկման համար:
Երաշխիքային ժամկետ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