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եռաբութիլսպիրտ-7 %, եթերներ (C5 և ավելի)-15 %, այլ օքսիդիչներ-10 %, անվտանգությունը, մակնշումը և փաթեթավորումը` ըստ ՀՀ կառավարության 2004թ. նոյեմբերի 11-իN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830-կգ/մ3: Բռնկման կետի արժեքը C վառելիքի դասի Z-32-40, փաստացի  արտահոսքի մածուցիկությունը նն/վ, որը պետք է լինի Z-32, դիզելային վառելիքի  համար 1,5-2,5, Z-38, դիզելաին վառելիքի համար 1-4-1,5:խմբի ածխաջրածինների սահմանափակ Արոմատիկ ներկայությունը՝ K3 և K4 դասերի համեմատ, նման միացությունները կարող են լինել 11-ից ոչ ավելի, իսկ K5 դասի համեմատ՝ 8%-ից ոչ բարձր: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