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Fonts w:ascii="GHEA Grapalat" w:hAnsi="GHEA Grapalat" w:cs="Sylfaen"/>
          <w:b/>
          <w:noProof/>
          <w:lang w:val="hy-AM"/>
        </w:rPr>
      </w:pPr>
      <w:r>
        <w:rPr>
          <w:rFonts w:ascii="GHEA Grapalat" w:hAnsi="GHEA Grapalat" w:cs="Sylfaen"/>
          <w:b/>
          <w:noProof/>
          <w:lang w:val="hy-AM"/>
        </w:rPr>
        <w:t>ՏԵԽՆԻԿԱԿԱՆ ԲՆՈՒԹԱԳԻՐ</w:t>
      </w:r>
      <w:bookmarkStart w:id="0" w:name="_GoBack"/>
      <w:bookmarkEnd w:id="0"/>
    </w:p>
    <w:p>
      <w:pPr>
        <w:jc w:val="center"/>
        <w:rPr>
          <w:rFonts w:ascii="GHEA Grapalat" w:hAnsi="GHEA Grapalat" w:cs="Sylfaen"/>
          <w:b/>
          <w:noProof/>
          <w:lang w:val="hy-AM"/>
        </w:rPr>
      </w:pPr>
      <w:r>
        <w:rPr>
          <w:rFonts w:ascii="GHEA Grapalat" w:hAnsi="GHEA Grapalat" w:cs="Sylfaen"/>
          <w:b/>
          <w:noProof/>
          <w:lang w:val="hy-AM"/>
        </w:rPr>
        <w:t xml:space="preserve">    ՀԱՅԱՍՏԱՆԻ ՀԱՆՐԱՊԵՏՈՒԹՅԱՆ ԱՇԽԱՏԱՆՔԻ ԵՎ ՍՈՑԻԱԼԱԿԱՆ ՀԱՐՑԵՐԻ ՆԱԽԱՐԱՐՈՒԹՅԱՆ 202</w:t>
      </w:r>
      <w:r>
        <w:rPr>
          <w:rFonts w:ascii="GHEA Grapalat" w:hAnsi="GHEA Grapalat" w:cs="Sylfaen"/>
          <w:b/>
          <w:noProof/>
        </w:rPr>
        <w:t>4</w:t>
      </w:r>
      <w:r>
        <w:rPr>
          <w:rFonts w:ascii="GHEA Grapalat" w:hAnsi="GHEA Grapalat" w:cs="Sylfaen"/>
          <w:b/>
          <w:noProof/>
          <w:lang w:val="hy-AM"/>
        </w:rPr>
        <w:t xml:space="preserve"> ԹՎԱԿԱՆԻ ԿԱՐԻՔՆԵՐԻ ՀԱՄԱՐ ՆԵՐՔԻՆ ԱՈՒԴԻՏԻ ԾԱՌԱՅՈՒԹՅԱՆ ՁԵՌՔԲԵՐՄԱՆ </w:t>
      </w:r>
    </w:p>
    <w:p>
      <w:pPr>
        <w:jc w:val="both"/>
        <w:rPr>
          <w:rFonts w:ascii="GHEA Grapalat" w:hAnsi="GHEA Grapalat" w:cs="Arial"/>
          <w:b/>
          <w:noProof/>
          <w:lang w:val="hy-AM"/>
        </w:rPr>
      </w:pPr>
    </w:p>
    <w:p>
      <w:pPr>
        <w:ind w:firstLine="558"/>
        <w:jc w:val="both"/>
        <w:rPr>
          <w:rFonts w:ascii="GHEA Grapalat" w:hAnsi="GHEA Grapalat" w:cs="Arial"/>
          <w:b/>
          <w:noProof/>
          <w:lang w:val="hy-AM"/>
        </w:rPr>
      </w:pPr>
      <w:r>
        <w:rPr>
          <w:rFonts w:ascii="GHEA Grapalat" w:hAnsi="GHEA Grapalat" w:cs="Arial"/>
          <w:b/>
          <w:noProof/>
          <w:lang w:val="hy-AM"/>
        </w:rPr>
        <w:t>1</w:t>
      </w:r>
      <w:r>
        <w:rPr>
          <w:rFonts w:ascii="Cambria Math" w:eastAsia="MS Mincho" w:hAnsi="Cambria Math" w:cs="Cambria Math"/>
          <w:b/>
          <w:noProof/>
          <w:lang w:val="hy-AM"/>
        </w:rPr>
        <w:t>․</w:t>
      </w:r>
      <w:r>
        <w:rPr>
          <w:rFonts w:ascii="GHEA Grapalat" w:hAnsi="GHEA Grapalat" w:cs="Arial"/>
          <w:b/>
          <w:noProof/>
          <w:lang w:val="hy-AM"/>
        </w:rPr>
        <w:t xml:space="preserve"> ՆԵՐՔԻՆ ԱՈՒԴԻՏԻ ՇՐՋԱՆԱԿԸ ԵՎ ՄԱՏՈՒՑՎՈՂ ԾԱՌԱՅՈՒԹՅԱՆԸ ՆԵՐԿԱՅԱՑՎՈՂ ԸՆԴՀԱՆՈՒՐ ՊԱՀԱՆՋՆԵՐԸ</w:t>
      </w:r>
    </w:p>
    <w:p>
      <w:pPr>
        <w:spacing w:line="360" w:lineRule="auto"/>
        <w:ind w:firstLine="558"/>
        <w:jc w:val="both"/>
        <w:rPr>
          <w:rFonts w:ascii="GHEA Grapalat" w:hAnsi="GHEA Grapalat" w:cs="Arial"/>
          <w:noProof/>
          <w:lang w:val="hy-AM"/>
        </w:rPr>
      </w:pPr>
      <w:r>
        <w:rPr>
          <w:rFonts w:ascii="GHEA Grapalat" w:hAnsi="GHEA Grapalat" w:cs="Arial"/>
          <w:noProof/>
          <w:lang w:val="hy-AM"/>
        </w:rPr>
        <w:t>Ներքին աուդիտը հանդիսանում է անկախ, օբյեկտիվ հավաստիացման և խորհրդատվական գործառույթ, որն ուղղված է Աշխատանքի և սոցիալական հարցերի նախարարության,  վերջինիս կառուցվածքային ստորաբաժանումնների, նախարարությանը հանձնված պետական ոչ առևտրային կազմակերպությունների (այսուհետ՝ կազմակերպություն)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pPr>
        <w:pStyle w:val="ListParagraph"/>
        <w:numPr>
          <w:ilvl w:val="0"/>
          <w:numId w:val="6"/>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pPr>
        <w:pStyle w:val="ListParagraph"/>
        <w:numPr>
          <w:ilvl w:val="0"/>
          <w:numId w:val="6"/>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lastRenderedPageBreak/>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օժանդակի Ղեկավարին հասնել իր առջև դրված նպատակներին` բարելավելով կազմակերպության համակարգերը և ծառայությունները,</w:t>
      </w:r>
    </w:p>
    <w:p>
      <w:pPr>
        <w:pStyle w:val="ListParagraph"/>
        <w:numPr>
          <w:ilvl w:val="0"/>
          <w:numId w:val="5"/>
        </w:numPr>
        <w:spacing w:line="360" w:lineRule="auto"/>
        <w:ind w:left="576" w:hanging="576"/>
        <w:contextualSpacing/>
        <w:rPr>
          <w:rFonts w:ascii="GHEA Grapalat" w:hAnsi="GHEA Grapalat" w:cs="Arial"/>
          <w:noProof/>
          <w:lang w:val="hy-AM"/>
        </w:rPr>
      </w:pPr>
      <w:r>
        <w:rPr>
          <w:rFonts w:ascii="GHEA Grapalat" w:hAnsi="GHEA Grapalat" w:cs="Arial"/>
          <w:noProof/>
          <w:lang w:val="hy-AM"/>
        </w:rPr>
        <w:t>իր ներկայությամբ նվազեցնել խարդախության, վատնումների և այլ չարաշահման դեպքերի տեղի ունենալու հավանականությունը,</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աուդիտորների վարքագծի համապատասխանությունը սահմանված վարքագծի կանոններին,</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 xml:space="preserve">ապահովի իր առնվազն մեկ աշխատակցի մշտապես ներկայությունը կազմակերպությունում (բացառությամբ գյուղական համայնքների), որը </w:t>
      </w:r>
      <w:r>
        <w:rPr>
          <w:rFonts w:ascii="GHEA Grapalat" w:hAnsi="GHEA Grapalat" w:cs="Arial"/>
          <w:noProof/>
          <w:lang w:val="hy-AM"/>
        </w:rPr>
        <w:lastRenderedPageBreak/>
        <w:t>պատասխանատու է ներքին աուդիտի օրենսդրությամբ նախատեսված բոլոր պահանջների կատարման համար,</w:t>
      </w:r>
    </w:p>
    <w:p>
      <w:pPr>
        <w:pStyle w:val="ListParagraph"/>
        <w:numPr>
          <w:ilvl w:val="0"/>
          <w:numId w:val="5"/>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կատարի ներքին աուդիտի կոմիտեի քարտուղարի պարտականությունները,</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հաշվետու լինի Ղեկավարին և ներքին աուդիտի կոմիտեին,</w:t>
      </w:r>
    </w:p>
    <w:p>
      <w:pPr>
        <w:pStyle w:val="ListParagraph"/>
        <w:numPr>
          <w:ilvl w:val="0"/>
          <w:numId w:val="5"/>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բացի ներքին աուդիտի գործունեության կառավարման գործառույթներից, չիրականացնի կազմակերպության կառավարման որևէ գործառույթ:</w:t>
      </w:r>
    </w:p>
    <w:p>
      <w:pPr>
        <w:spacing w:line="360" w:lineRule="auto"/>
        <w:ind w:firstLine="567"/>
        <w:jc w:val="both"/>
        <w:rPr>
          <w:rFonts w:ascii="GHEA Grapalat" w:hAnsi="GHEA Grapalat" w:cs="Arial"/>
          <w:noProof/>
          <w:lang w:val="hy-AM"/>
        </w:rPr>
      </w:pPr>
      <w:r>
        <w:rPr>
          <w:rFonts w:ascii="GHEA Grapalat" w:hAnsi="GHEA Grapalat" w:cs="Arial"/>
          <w:noProof/>
          <w:lang w:val="hy-AM"/>
        </w:rPr>
        <w:t>Նախկինում կատարած աուդիտորական աշխատանքերի արդյունքները պետք է ընդունվեն ի գիտություն և հաշվի առնվեն հետագա աշխատանքներում։</w:t>
      </w:r>
    </w:p>
    <w:p>
      <w:pPr>
        <w:spacing w:line="360" w:lineRule="auto"/>
        <w:ind w:firstLine="558"/>
        <w:jc w:val="both"/>
        <w:rPr>
          <w:rFonts w:ascii="GHEA Grapalat" w:hAnsi="GHEA Grapalat" w:cs="Arial"/>
          <w:b/>
          <w:noProof/>
          <w:lang w:val="hy-AM"/>
        </w:rPr>
      </w:pPr>
      <w:r>
        <w:rPr>
          <w:rFonts w:ascii="GHEA Grapalat" w:hAnsi="GHEA Grapalat" w:cs="Arial"/>
          <w:b/>
          <w:noProof/>
          <w:lang w:val="hy-AM"/>
        </w:rPr>
        <w:t>2. ՆԵՐՔԻՆ ԱՈՒԴԻՏԻ ԵՆԹԱԿԱ ՄԻՋԱՎԱՅՐԸ</w:t>
      </w:r>
    </w:p>
    <w:p>
      <w:pPr>
        <w:spacing w:line="360" w:lineRule="auto"/>
        <w:ind w:firstLine="558"/>
        <w:jc w:val="both"/>
        <w:rPr>
          <w:rFonts w:ascii="GHEA Grapalat" w:eastAsia="MS Mincho" w:hAnsi="GHEA Grapalat" w:cs="Sylfaen"/>
          <w:noProof/>
          <w:lang w:val="hy-AM"/>
        </w:rPr>
      </w:pPr>
      <w:r>
        <w:rPr>
          <w:rFonts w:ascii="GHEA Grapalat" w:eastAsia="MS Mincho" w:hAnsi="GHEA Grapalat" w:cs="Sylfaen"/>
          <w:noProof/>
          <w:lang w:val="hy-AM"/>
        </w:rPr>
        <w:t>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pPr>
        <w:spacing w:line="360" w:lineRule="auto"/>
        <w:ind w:firstLine="558"/>
        <w:jc w:val="both"/>
        <w:rPr>
          <w:rFonts w:ascii="GHEA Grapalat" w:hAnsi="GHEA Grapalat" w:cs="Sylfaen"/>
          <w:noProof/>
          <w:lang w:val="hy-AM"/>
        </w:rPr>
      </w:pPr>
      <w:r>
        <w:rPr>
          <w:rFonts w:ascii="GHEA Grapalat" w:hAnsi="GHEA Grapalat" w:cs="Sylfaen"/>
          <w:noProof/>
          <w:lang w:val="hy-AM"/>
        </w:rPr>
        <w:t>Աուդիտի</w:t>
      </w:r>
      <w:r>
        <w:rPr>
          <w:rFonts w:ascii="GHEA Grapalat" w:hAnsi="GHEA Grapalat" w:cs="Courier New"/>
          <w:noProof/>
          <w:lang w:val="hy-AM"/>
        </w:rPr>
        <w:t xml:space="preserve"> </w:t>
      </w:r>
      <w:r>
        <w:rPr>
          <w:rFonts w:ascii="GHEA Grapalat" w:hAnsi="GHEA Grapalat" w:cs="Sylfaen"/>
          <w:noProof/>
          <w:lang w:val="hy-AM"/>
        </w:rPr>
        <w:t xml:space="preserve">միջավայրի տարրերը, որոնք կոչվում են միավորներ </w:t>
      </w:r>
      <w:r>
        <w:rPr>
          <w:rFonts w:ascii="GHEA Grapalat" w:eastAsia="MS Mincho" w:hAnsi="GHEA Grapalat" w:cs="Sylfaen"/>
          <w:noProof/>
          <w:lang w:val="hy-AM"/>
        </w:rPr>
        <w:t>(այսուհետ՝ Միավորներ)</w:t>
      </w:r>
      <w:r>
        <w:rPr>
          <w:rFonts w:ascii="GHEA Grapalat" w:hAnsi="GHEA Grapalat" w:cs="Sylfaen"/>
          <w:noProof/>
          <w:lang w:val="hy-AM"/>
        </w:rPr>
        <w:t>, ներառում են.</w:t>
      </w:r>
    </w:p>
    <w:p>
      <w:pPr>
        <w:spacing w:line="360" w:lineRule="auto"/>
        <w:ind w:firstLine="558"/>
        <w:jc w:val="both"/>
        <w:rPr>
          <w:rFonts w:ascii="GHEA Grapalat" w:hAnsi="GHEA Grapalat" w:cs="Sylfaen"/>
          <w:noProof/>
          <w:lang w:val="hy-AM"/>
        </w:rPr>
      </w:pPr>
      <w:r>
        <w:rPr>
          <w:rFonts w:ascii="GHEA Grapalat" w:hAnsi="GHEA Grapalat" w:cs="Sylfaen"/>
          <w:noProof/>
          <w:lang w:val="hy-AM"/>
        </w:rPr>
        <w:t>1) մասնաճյուղերը,</w:t>
      </w:r>
    </w:p>
    <w:p>
      <w:pPr>
        <w:spacing w:line="360" w:lineRule="auto"/>
        <w:ind w:firstLine="562"/>
        <w:jc w:val="both"/>
        <w:rPr>
          <w:rFonts w:ascii="GHEA Grapalat" w:hAnsi="GHEA Grapalat" w:cs="Sylfaen"/>
          <w:noProof/>
          <w:lang w:val="hy-AM"/>
        </w:rPr>
      </w:pPr>
      <w:r>
        <w:rPr>
          <w:rFonts w:ascii="GHEA Grapalat" w:hAnsi="GHEA Grapalat" w:cs="Sylfaen"/>
          <w:noProof/>
          <w:lang w:val="hy-AM"/>
        </w:rPr>
        <w:lastRenderedPageBreak/>
        <w:t xml:space="preserve">2)համակարգի կազմակերպությունները` պետական ոչ առևտրային կազմակերպությունները (ՊՈԱԿ), </w:t>
      </w:r>
    </w:p>
    <w:p>
      <w:pPr>
        <w:spacing w:line="360" w:lineRule="auto"/>
        <w:ind w:firstLine="562"/>
        <w:jc w:val="both"/>
        <w:rPr>
          <w:rFonts w:ascii="GHEA Grapalat" w:hAnsi="GHEA Grapalat" w:cs="Sylfaen"/>
          <w:noProof/>
          <w:lang w:val="hy-AM"/>
        </w:rPr>
      </w:pPr>
      <w:r>
        <w:rPr>
          <w:rFonts w:ascii="GHEA Grapalat" w:hAnsi="GHEA Grapalat" w:cs="Sylfaen"/>
          <w:noProof/>
          <w:lang w:val="hy-AM"/>
        </w:rPr>
        <w:t>3) հիմնական և աջակցող ստորաբաժանումները (վարչությունները, բաժինները),</w:t>
      </w:r>
    </w:p>
    <w:p>
      <w:pPr>
        <w:spacing w:line="360" w:lineRule="auto"/>
        <w:ind w:firstLine="562"/>
        <w:jc w:val="both"/>
        <w:rPr>
          <w:rFonts w:ascii="GHEA Grapalat" w:hAnsi="GHEA Grapalat" w:cs="Sylfaen"/>
          <w:noProof/>
          <w:lang w:val="hy-AM"/>
        </w:rPr>
      </w:pPr>
      <w:r>
        <w:rPr>
          <w:rFonts w:ascii="GHEA Grapalat" w:hAnsi="GHEA Grapalat" w:cs="Sylfaen"/>
          <w:noProof/>
          <w:lang w:val="hy-AM"/>
        </w:rPr>
        <w:t>4) այլ ստորաբաժանումները, գործընթացները, ծրագրերը:</w:t>
      </w:r>
    </w:p>
    <w:p>
      <w:pPr>
        <w:spacing w:line="360" w:lineRule="auto"/>
        <w:ind w:firstLine="558"/>
        <w:jc w:val="both"/>
        <w:rPr>
          <w:rFonts w:ascii="GHEA Grapalat" w:hAnsi="GHEA Grapalat" w:cs="Arial"/>
          <w:b/>
          <w:noProof/>
          <w:lang w:val="hy-AM"/>
        </w:rPr>
      </w:pPr>
      <w:r>
        <w:rPr>
          <w:rFonts w:ascii="GHEA Grapalat" w:hAnsi="GHEA Grapalat" w:cs="Arial"/>
          <w:b/>
          <w:noProof/>
          <w:lang w:val="hy-AM"/>
        </w:rPr>
        <w:t>3</w:t>
      </w:r>
      <w:r>
        <w:rPr>
          <w:rFonts w:ascii="Cambria Math" w:eastAsia="MS Mincho" w:hAnsi="Cambria Math" w:cs="Cambria Math"/>
          <w:b/>
          <w:noProof/>
          <w:lang w:val="hy-AM"/>
        </w:rPr>
        <w:t>․</w:t>
      </w:r>
      <w:r>
        <w:rPr>
          <w:rFonts w:ascii="GHEA Grapalat" w:hAnsi="GHEA Grapalat" w:cs="Arial"/>
          <w:b/>
          <w:noProof/>
          <w:lang w:val="hy-AM"/>
        </w:rPr>
        <w:t xml:space="preserve"> ՁԵՌՔԲԵՐՎՈՂ ԾԱՌԱՅՈՒԹՅԱՆ ՆԿԱՐԱԳԻՐԸ</w:t>
      </w:r>
    </w:p>
    <w:p>
      <w:pPr>
        <w:pStyle w:val="ListParagraph"/>
        <w:numPr>
          <w:ilvl w:val="0"/>
          <w:numId w:val="4"/>
        </w:numPr>
        <w:tabs>
          <w:tab w:val="left" w:pos="851"/>
        </w:tabs>
        <w:spacing w:line="360" w:lineRule="auto"/>
        <w:ind w:left="0" w:firstLine="558"/>
        <w:contextualSpacing/>
        <w:jc w:val="both"/>
        <w:rPr>
          <w:rFonts w:ascii="GHEA Grapalat" w:hAnsi="GHEA Grapalat" w:cs="Arial"/>
          <w:noProof/>
          <w:lang w:val="hy-AM"/>
        </w:rPr>
      </w:pPr>
      <w:r>
        <w:rPr>
          <w:rFonts w:ascii="GHEA Grapalat" w:hAnsi="GHEA Grapalat" w:cs="Arial"/>
          <w:noProof/>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pPr>
        <w:pStyle w:val="ListParagraph"/>
        <w:numPr>
          <w:ilvl w:val="0"/>
          <w:numId w:val="4"/>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Arial"/>
          <w:noProof/>
          <w:lang w:val="hy-AM"/>
        </w:rPr>
        <w:t>Սույն</w:t>
      </w:r>
      <w:r>
        <w:rPr>
          <w:rFonts w:ascii="GHEA Grapalat" w:hAnsi="GHEA Grapalat" w:cs="Sylfaen"/>
          <w:noProof/>
          <w:lang w:val="hy-AM"/>
        </w:rPr>
        <w:t xml:space="preserve"> բաժնի 1-ին կետով սահմանված պարտականության կատարման նպատակով Կատարողը պարտավոր է.</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w:t>
      </w:r>
      <w:r>
        <w:rPr>
          <w:rFonts w:ascii="GHEA Grapalat" w:hAnsi="GHEA Grapalat" w:cs="Sylfaen"/>
          <w:noProof/>
          <w:lang w:val="hy-AM"/>
        </w:rPr>
        <w:lastRenderedPageBreak/>
        <w:t>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Գ)</w:t>
      </w:r>
      <w:r>
        <w:rPr>
          <w:rFonts w:ascii="GHEA Grapalat" w:hAnsi="GHEA Grapalat" w:cs="Sylfaen"/>
          <w:noProof/>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տնտեսող, արդյունավետ և օգտավետ գործառույթներ,</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lastRenderedPageBreak/>
        <w:t>տեղեկությունների վստահելիություն և ամբողջականություն,</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կորուստներից, չարաշահումներից և վնասներից ակտիվների ու ռեսուրսների պահպանման հուսալիություն,</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առաջադրանքների կատարում և նպատակների իրագործում:</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դ) տրամադրել.</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ներդրված ներքին հսկողական համակարգերը գործում են/չեն գործում արդյունավետ կերպով.</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հավաստիացում առ այն, որ ռիսկերի կառավարման վերաբերյալ հաշվետվողականության գործընթացները հուսալի են/հուսալի չեն.</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ենթակա Միավորների նկատմամբ հսկողության վերաբերյալ,</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lastRenderedPageBreak/>
        <w:t>Ե)</w:t>
      </w:r>
      <w:r>
        <w:rPr>
          <w:rFonts w:ascii="GHEA Grapalat" w:hAnsi="GHEA Grapalat" w:cs="Sylfaen"/>
          <w:noProof/>
          <w:lang w:val="hy-AM"/>
        </w:rPr>
        <w:tab/>
        <w:t>կազմել և Ղեկավարին ու ներքին աուդիտի կոմիտեին ներկայացնել ներքին աուդիտի մասին օրենսդրությամբ նախատեսված հաշվետվությունները.</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ներքին աուդիտի գործունեության արդյունքների վերաբերյալ տարեկան հաշվետվություն.</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lastRenderedPageBreak/>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կազմակերպել աշխատանքային փաստաթղթերի պատշաճ փաստաթղթավորում և պահպանում.</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Ը)</w:t>
      </w:r>
      <w:r>
        <w:rPr>
          <w:rFonts w:ascii="GHEA Grapalat" w:hAnsi="GHEA Grapalat" w:cs="Sylfaen"/>
          <w:noProof/>
          <w:lang w:val="hy-AM"/>
        </w:rPr>
        <w:tab/>
        <w:t>կազմել ներքին աուդիտի որակի երաշխավորման և բարելավման ծրագիր, ապահովել դրա կատարումը, որը Ղեկավարին, ներքին աուդիտի կոմիտեին և այլ շահագրգիռ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pPr>
        <w:pStyle w:val="ListParagraph"/>
        <w:numPr>
          <w:ilvl w:val="0"/>
          <w:numId w:val="4"/>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ներքին աուդիտի համագործակցությունը այլ ներքին և արտաքին հավաստիացումներ տրամադրողների հետ.</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Ա)</w:t>
      </w:r>
      <w:r>
        <w:rPr>
          <w:rFonts w:ascii="GHEA Grapalat" w:hAnsi="GHEA Grapalat" w:cs="Sylfaen"/>
          <w:noProof/>
          <w:lang w:val="hy-AM"/>
        </w:rPr>
        <w:tab/>
      </w:r>
      <w:r>
        <w:rPr>
          <w:rFonts w:ascii="GHEA Grapalat" w:hAnsi="GHEA Grapalat" w:cs="Arial"/>
          <w:noProof/>
          <w:lang w:val="hy-AM"/>
        </w:rPr>
        <w:t>կատարող</w:t>
      </w:r>
      <w:r>
        <w:rPr>
          <w:rFonts w:ascii="GHEA Grapalat" w:hAnsi="GHEA Grapalat" w:cs="Sylfaen"/>
          <w:noProof/>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Բ)</w:t>
      </w:r>
      <w:r>
        <w:rPr>
          <w:rFonts w:ascii="GHEA Grapalat" w:hAnsi="GHEA Grapalat" w:cs="Sylfaen"/>
          <w:noProof/>
          <w:lang w:val="hy-AM"/>
        </w:rPr>
        <w:tab/>
      </w:r>
      <w:r>
        <w:rPr>
          <w:rFonts w:ascii="GHEA Grapalat" w:hAnsi="GHEA Grapalat" w:cs="Arial"/>
          <w:noProof/>
          <w:lang w:val="hy-AM"/>
        </w:rPr>
        <w:t>Ղեկավարի</w:t>
      </w:r>
      <w:r>
        <w:rPr>
          <w:rFonts w:ascii="GHEA Grapalat" w:hAnsi="GHEA Grapalat" w:cs="Sylfaen"/>
          <w:noProof/>
          <w:lang w:val="hy-AM"/>
        </w:rPr>
        <w:t xml:space="preserve"> հանձնարարությամբ </w:t>
      </w:r>
      <w:r>
        <w:rPr>
          <w:rFonts w:ascii="GHEA Grapalat" w:hAnsi="GHEA Grapalat" w:cs="Arial"/>
          <w:noProof/>
          <w:lang w:val="hy-AM"/>
        </w:rPr>
        <w:t>Կատարող</w:t>
      </w:r>
      <w:r>
        <w:rPr>
          <w:rFonts w:ascii="GHEA Grapalat" w:hAnsi="GHEA Grapalat" w:cs="Sylfaen"/>
          <w:noProof/>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pPr>
        <w:pStyle w:val="ListParagraph"/>
        <w:numPr>
          <w:ilvl w:val="0"/>
          <w:numId w:val="4"/>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Կատարողը պետք է իրականացնի ներքին աուդիտ՝ հավաստիացման կամ խորհրդատվական ծառայությունների մատուցման միջոցով:</w:t>
      </w:r>
    </w:p>
    <w:p>
      <w:pPr>
        <w:spacing w:line="360" w:lineRule="auto"/>
        <w:ind w:firstLine="567"/>
        <w:jc w:val="both"/>
        <w:rPr>
          <w:rFonts w:ascii="GHEA Grapalat" w:hAnsi="GHEA Grapalat" w:cs="Sylfaen"/>
          <w:noProof/>
          <w:lang w:val="hy-AM"/>
        </w:rPr>
      </w:pPr>
      <w:r>
        <w:rPr>
          <w:rFonts w:ascii="GHEA Grapalat" w:hAnsi="GHEA Grapalat" w:cs="Sylfaen"/>
          <w:noProof/>
          <w:lang w:val="hy-AM"/>
        </w:rPr>
        <w:lastRenderedPageBreak/>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pPr>
        <w:spacing w:line="360" w:lineRule="auto"/>
        <w:ind w:firstLine="567"/>
        <w:jc w:val="both"/>
        <w:rPr>
          <w:rFonts w:ascii="GHEA Grapalat" w:hAnsi="GHEA Grapalat" w:cs="Sylfaen"/>
          <w:noProof/>
          <w:lang w:val="hy-AM"/>
        </w:rPr>
      </w:pPr>
      <w:r>
        <w:rPr>
          <w:rFonts w:ascii="GHEA Grapalat" w:hAnsi="GHEA Grapalat" w:cs="Sylfaen"/>
          <w:noProof/>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pPr>
        <w:spacing w:line="360" w:lineRule="auto"/>
        <w:ind w:firstLine="567"/>
        <w:jc w:val="both"/>
        <w:rPr>
          <w:rFonts w:ascii="GHEA Grapalat" w:hAnsi="GHEA Grapalat" w:cs="Sylfaen"/>
          <w:noProof/>
          <w:lang w:val="hy-AM"/>
        </w:rPr>
      </w:pPr>
      <w:r>
        <w:rPr>
          <w:rFonts w:ascii="GHEA Grapalat" w:hAnsi="GHEA Grapalat" w:cs="Sylfaen"/>
          <w:noProof/>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pPr>
        <w:spacing w:line="360" w:lineRule="auto"/>
        <w:ind w:firstLine="558"/>
        <w:jc w:val="both"/>
        <w:rPr>
          <w:rFonts w:ascii="GHEA Grapalat" w:hAnsi="GHEA Grapalat" w:cs="Arial"/>
          <w:b/>
          <w:noProof/>
          <w:lang w:val="hy-AM"/>
        </w:rPr>
      </w:pPr>
      <w:r>
        <w:rPr>
          <w:rFonts w:ascii="GHEA Grapalat" w:hAnsi="GHEA Grapalat" w:cs="Arial"/>
          <w:b/>
          <w:noProof/>
          <w:lang w:val="hy-AM"/>
        </w:rPr>
        <w:t>4</w:t>
      </w:r>
      <w:r>
        <w:rPr>
          <w:rFonts w:ascii="Cambria Math" w:eastAsia="MS Mincho" w:hAnsi="Cambria Math" w:cs="Cambria Math"/>
          <w:b/>
          <w:noProof/>
          <w:lang w:val="hy-AM"/>
        </w:rPr>
        <w:t>․</w:t>
      </w:r>
      <w:r>
        <w:rPr>
          <w:rFonts w:ascii="GHEA Grapalat" w:hAnsi="GHEA Grapalat" w:cs="Arial"/>
          <w:b/>
          <w:noProof/>
          <w:lang w:val="hy-AM"/>
        </w:rPr>
        <w:t xml:space="preserve"> ԼԻԱԶՈՐ</w:t>
      </w:r>
      <w:r>
        <w:rPr>
          <w:rFonts w:ascii="GHEA Grapalat" w:hAnsi="GHEA Grapalat" w:cs="Sylfaen"/>
          <w:b/>
          <w:noProof/>
          <w:lang w:val="hy-AM"/>
        </w:rPr>
        <w:t xml:space="preserve"> </w:t>
      </w:r>
      <w:r>
        <w:rPr>
          <w:rFonts w:ascii="GHEA Grapalat" w:hAnsi="GHEA Grapalat" w:cs="Arial"/>
          <w:b/>
          <w:noProof/>
          <w:lang w:val="hy-AM"/>
        </w:rPr>
        <w:t>ՄԱՐՄՆԻՆ ՏՐԱՄԱԴՐՎՈՂ ՏԵՂԵԿԱՏՎՈՒԹՅՈՒՆԸ</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Կատարողը Հայաստանի Հանրապետության ֆինանսների նախարարությանը՝ որպես «Ներքին աուդիտի մասին» օրենքով սահմանված լիազոր մարմին (այսուհետ՝ </w:t>
      </w:r>
      <w:r>
        <w:rPr>
          <w:rFonts w:ascii="GHEA Grapalat" w:hAnsi="GHEA Grapalat" w:cs="Sylfaen"/>
          <w:noProof/>
          <w:lang w:val="hy-AM"/>
        </w:rPr>
        <w:lastRenderedPageBreak/>
        <w:t>Լիազոր մարմին) պետք է տրամադրի ներքին աուդիտի մասին Հայաստանի Հանրապետության օրենսդրությամբ նախատեսված հետևյալ տեղեկատվությունը.</w:t>
      </w:r>
    </w:p>
    <w:p>
      <w:pPr>
        <w:spacing w:line="360" w:lineRule="auto"/>
        <w:ind w:firstLine="567"/>
        <w:jc w:val="both"/>
        <w:rPr>
          <w:rFonts w:ascii="GHEA Grapalat" w:hAnsi="GHEA Grapalat" w:cs="Sylfaen"/>
          <w:noProof/>
          <w:lang w:val="hy-AM"/>
        </w:rPr>
      </w:pPr>
      <w:r>
        <w:rPr>
          <w:rFonts w:ascii="GHEA Grapalat" w:hAnsi="GHEA Grapalat" w:cs="Sylfaen"/>
          <w:noProof/>
          <w:lang w:val="hy-AM"/>
        </w:rPr>
        <w:t>Ա)</w:t>
      </w:r>
      <w:r>
        <w:rPr>
          <w:rFonts w:ascii="GHEA Grapalat" w:hAnsi="GHEA Grapalat" w:cs="Sylfaen"/>
          <w:noProof/>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Pr>
          <w:rFonts w:ascii="GHEA Grapalat" w:hAnsi="GHEA Grapalat" w:cs="Arial"/>
          <w:noProof/>
          <w:lang w:val="hy-AM"/>
        </w:rPr>
        <w:t>Կատարողի</w:t>
      </w:r>
      <w:r>
        <w:rPr>
          <w:rFonts w:ascii="GHEA Grapalat" w:hAnsi="GHEA Grapalat" w:cs="Sylfaen"/>
          <w:noProof/>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pPr>
        <w:spacing w:line="360" w:lineRule="auto"/>
        <w:ind w:firstLine="567"/>
        <w:jc w:val="both"/>
        <w:rPr>
          <w:rFonts w:ascii="GHEA Grapalat" w:hAnsi="GHEA Grapalat" w:cs="Sylfaen"/>
          <w:noProof/>
          <w:lang w:val="hy-AM"/>
        </w:rPr>
      </w:pPr>
      <w:r>
        <w:rPr>
          <w:rFonts w:ascii="GHEA Grapalat" w:hAnsi="GHEA Grapalat" w:cs="Sylfaen"/>
          <w:noProof/>
          <w:lang w:val="hy-AM"/>
        </w:rPr>
        <w:t>Բ)</w:t>
      </w:r>
      <w:r>
        <w:rPr>
          <w:rFonts w:ascii="GHEA Grapalat" w:hAnsi="GHEA Grapalat" w:cs="Sylfaen"/>
          <w:noProof/>
          <w:lang w:val="hy-AM"/>
        </w:rPr>
        <w:tab/>
        <w:t xml:space="preserve">ներքին աուդիտորներին վերապատրաստելու անհրաժեշտության և վերապատրաստման ծրագրի ուղղվածության մասին առաջարկություններ. </w:t>
      </w:r>
    </w:p>
    <w:p>
      <w:pPr>
        <w:spacing w:line="360" w:lineRule="auto"/>
        <w:ind w:firstLine="567"/>
        <w:jc w:val="both"/>
        <w:rPr>
          <w:rFonts w:ascii="GHEA Grapalat" w:hAnsi="GHEA Grapalat" w:cs="Sylfaen"/>
          <w:noProof/>
          <w:lang w:val="hy-AM"/>
        </w:rPr>
      </w:pPr>
      <w:r>
        <w:rPr>
          <w:rFonts w:ascii="GHEA Grapalat" w:hAnsi="GHEA Grapalat" w:cs="Sylfaen"/>
          <w:noProof/>
          <w:lang w:val="hy-AM"/>
        </w:rPr>
        <w:t>Գ)</w:t>
      </w:r>
      <w:r>
        <w:rPr>
          <w:rFonts w:ascii="GHEA Grapalat" w:hAnsi="GHEA Grapalat" w:cs="Sylfaen"/>
          <w:noProof/>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pPr>
        <w:spacing w:line="360" w:lineRule="auto"/>
        <w:ind w:firstLine="567"/>
        <w:jc w:val="both"/>
        <w:rPr>
          <w:rFonts w:ascii="GHEA Grapalat" w:hAnsi="GHEA Grapalat" w:cs="Sylfaen"/>
          <w:noProof/>
          <w:lang w:val="hy-AM"/>
        </w:rPr>
      </w:pPr>
      <w:r>
        <w:rPr>
          <w:rFonts w:ascii="GHEA Grapalat" w:hAnsi="GHEA Grapalat" w:cs="Sylfaen"/>
          <w:noProof/>
          <w:lang w:val="hy-AM"/>
        </w:rPr>
        <w:t>Դ)</w:t>
      </w:r>
      <w:r>
        <w:rPr>
          <w:rFonts w:ascii="GHEA Grapalat" w:hAnsi="GHEA Grapalat" w:cs="Sylfaen"/>
          <w:noProof/>
          <w:lang w:val="hy-AM"/>
        </w:rPr>
        <w:tab/>
        <w:t>հաջորդող տարվա տարեկան ծրագիրը՝ մինչև տվյալ տարվա դեկտեմբերի 1-ը.</w:t>
      </w:r>
    </w:p>
    <w:p>
      <w:pPr>
        <w:spacing w:line="360" w:lineRule="auto"/>
        <w:ind w:firstLine="567"/>
        <w:jc w:val="both"/>
        <w:rPr>
          <w:rFonts w:ascii="GHEA Grapalat" w:hAnsi="GHEA Grapalat" w:cs="Sylfaen"/>
          <w:noProof/>
          <w:lang w:val="hy-AM"/>
        </w:rPr>
      </w:pPr>
      <w:r>
        <w:rPr>
          <w:rFonts w:ascii="GHEA Grapalat" w:hAnsi="GHEA Grapalat" w:cs="Sylfaen"/>
          <w:noProof/>
          <w:lang w:val="hy-AM"/>
        </w:rPr>
        <w:t>Ե)</w:t>
      </w:r>
      <w:r>
        <w:rPr>
          <w:rFonts w:ascii="GHEA Grapalat" w:hAnsi="GHEA Grapalat" w:cs="Sylfaen"/>
          <w:noProof/>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pPr>
        <w:spacing w:line="360" w:lineRule="auto"/>
        <w:ind w:firstLine="567"/>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ներքին աուդիտի տարեկան ամփոփ հաշվետվություն՝ մինչև հաջորդ տարվա մարտի 1-ը.</w:t>
      </w:r>
    </w:p>
    <w:p>
      <w:pPr>
        <w:spacing w:line="360" w:lineRule="auto"/>
        <w:ind w:firstLine="567"/>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pPr>
        <w:spacing w:line="360" w:lineRule="auto"/>
        <w:ind w:firstLine="567"/>
        <w:jc w:val="both"/>
        <w:rPr>
          <w:rFonts w:ascii="GHEA Grapalat" w:hAnsi="GHEA Grapalat" w:cs="Sylfaen"/>
          <w:noProof/>
          <w:lang w:val="hy-AM"/>
        </w:rPr>
      </w:pPr>
      <w:r>
        <w:rPr>
          <w:rFonts w:ascii="GHEA Grapalat" w:hAnsi="GHEA Grapalat" w:cs="Sylfaen"/>
          <w:noProof/>
          <w:lang w:val="hy-AM"/>
        </w:rPr>
        <w:lastRenderedPageBreak/>
        <w:t>Ը)</w:t>
      </w:r>
      <w:r>
        <w:rPr>
          <w:rFonts w:ascii="GHEA Grapalat" w:hAnsi="GHEA Grapalat" w:cs="Sylfaen"/>
          <w:noProof/>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pPr>
        <w:ind w:firstLine="558"/>
        <w:jc w:val="both"/>
        <w:rPr>
          <w:rFonts w:ascii="GHEA Grapalat" w:hAnsi="GHEA Grapalat" w:cs="Arial"/>
          <w:b/>
          <w:noProof/>
          <w:lang w:val="hy-AM"/>
        </w:rPr>
      </w:pPr>
      <w:r>
        <w:rPr>
          <w:rFonts w:ascii="GHEA Grapalat" w:hAnsi="GHEA Grapalat" w:cs="Arial"/>
          <w:b/>
          <w:noProof/>
          <w:lang w:val="hy-AM"/>
        </w:rPr>
        <w:t>5</w:t>
      </w:r>
      <w:r>
        <w:rPr>
          <w:rFonts w:ascii="Cambria Math" w:eastAsia="MS Mincho" w:hAnsi="Cambria Math" w:cs="Cambria Math"/>
          <w:b/>
          <w:noProof/>
          <w:lang w:val="hy-AM"/>
        </w:rPr>
        <w:t>․</w:t>
      </w:r>
      <w:r>
        <w:rPr>
          <w:rFonts w:ascii="GHEA Grapalat" w:hAnsi="GHEA Grapalat" w:cs="Arial"/>
          <w:b/>
          <w:noProof/>
          <w:lang w:val="hy-AM"/>
        </w:rPr>
        <w:t xml:space="preserve"> ՆԵՐՔԻՆ ԱՈՒԴԻՏԻ ԾԱՌԱՅՈՒԹՅՈՒՆ ՄԱՏՈՒՑՈՂ ԿԱՏԱՐՈՂԻ ՆԿԱՏՄԱՄԲ ԸՆԴՀԱՆՈՒՐ ՊԱՀԱՆՋՆԵՐ</w:t>
      </w:r>
    </w:p>
    <w:p>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ա) </w:t>
      </w:r>
      <w:r>
        <w:rPr>
          <w:rFonts w:ascii="GHEA Grapalat" w:hAnsi="GHEA Grapalat" w:cs="Sylfaen"/>
          <w:noProof/>
          <w:lang w:val="hy-AM"/>
        </w:rPr>
        <w:t xml:space="preserve">Կատարողը </w:t>
      </w:r>
      <w:r>
        <w:rPr>
          <w:rFonts w:ascii="GHEA Grapalat" w:hAnsi="GHEA Grapalat" w:cs="Arial"/>
          <w:noProof/>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բ) </w:t>
      </w:r>
      <w:r>
        <w:rPr>
          <w:rFonts w:ascii="GHEA Grapalat" w:hAnsi="GHEA Grapalat" w:cs="Sylfaen"/>
          <w:noProof/>
          <w:lang w:val="hy-AM"/>
        </w:rPr>
        <w:t>Կատարողի</w:t>
      </w:r>
      <w:r>
        <w:rPr>
          <w:rFonts w:ascii="GHEA Grapalat" w:hAnsi="GHEA Grapalat" w:cs="Arial"/>
          <w:noProof/>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գ) </w:t>
      </w:r>
      <w:r>
        <w:rPr>
          <w:rFonts w:ascii="GHEA Grapalat" w:hAnsi="GHEA Grapalat" w:cs="Sylfaen"/>
          <w:noProof/>
          <w:lang w:val="hy-AM"/>
        </w:rPr>
        <w:t>Ներքին</w:t>
      </w:r>
      <w:r>
        <w:rPr>
          <w:rFonts w:ascii="GHEA Grapalat" w:hAnsi="GHEA Grapalat" w:cs="Arial"/>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pPr>
        <w:spacing w:line="360" w:lineRule="auto"/>
        <w:ind w:firstLine="567"/>
        <w:jc w:val="both"/>
        <w:rPr>
          <w:rFonts w:ascii="GHEA Grapalat" w:hAnsi="GHEA Grapalat" w:cs="Arial"/>
          <w:noProof/>
          <w:lang w:val="hy-AM"/>
        </w:rPr>
      </w:pPr>
      <w:r>
        <w:rPr>
          <w:rFonts w:ascii="GHEA Grapalat" w:hAnsi="GHEA Grapalat" w:cs="Sylfaen"/>
          <w:noProof/>
          <w:lang w:val="hy-AM"/>
        </w:rPr>
        <w:t xml:space="preserve">Կատարողը </w:t>
      </w:r>
      <w:r>
        <w:rPr>
          <w:rFonts w:ascii="GHEA Grapalat" w:hAnsi="GHEA Grapalat" w:cs="Arial"/>
          <w:noProof/>
          <w:lang w:val="hy-AM"/>
        </w:rPr>
        <w:t xml:space="preserve">ներքին աուդիտի աշխատանքները պետք է կատարի ներքին աուդիտի մասին </w:t>
      </w:r>
      <w:r>
        <w:rPr>
          <w:rFonts w:ascii="GHEA Grapalat" w:hAnsi="GHEA Grapalat" w:cs="Sylfaen"/>
          <w:noProof/>
          <w:lang w:val="hy-AM"/>
        </w:rPr>
        <w:t>Հայաստանի Հանրապետության</w:t>
      </w:r>
      <w:r>
        <w:rPr>
          <w:rFonts w:ascii="GHEA Grapalat" w:hAnsi="GHEA Grapalat" w:cs="Arial"/>
          <w:noProof/>
          <w:lang w:val="hy-AM"/>
        </w:rPr>
        <w:t xml:space="preserve"> օրենսդրության պահանջներին և </w:t>
      </w:r>
      <w:r>
        <w:rPr>
          <w:rFonts w:ascii="GHEA Grapalat" w:hAnsi="GHEA Grapalat" w:cs="Sylfaen"/>
          <w:noProof/>
          <w:lang w:val="hy-AM"/>
        </w:rPr>
        <w:lastRenderedPageBreak/>
        <w:t>Հայաստանի Հանրապետության</w:t>
      </w:r>
      <w:r>
        <w:rPr>
          <w:rFonts w:ascii="GHEA Grapalat"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pPr>
        <w:spacing w:line="360" w:lineRule="auto"/>
        <w:ind w:firstLine="558"/>
        <w:jc w:val="both"/>
        <w:rPr>
          <w:rFonts w:ascii="GHEA Grapalat" w:hAnsi="GHEA Grapalat" w:cs="Arial"/>
          <w:b/>
          <w:noProof/>
          <w:lang w:val="hy-AM"/>
        </w:rPr>
      </w:pPr>
      <w:r>
        <w:rPr>
          <w:rFonts w:ascii="GHEA Grapalat" w:hAnsi="GHEA Grapalat" w:cs="Arial"/>
          <w:b/>
          <w:noProof/>
          <w:lang w:val="hy-AM"/>
        </w:rPr>
        <w:t>6</w:t>
      </w:r>
      <w:r>
        <w:rPr>
          <w:rFonts w:ascii="Cambria Math" w:eastAsia="MS Mincho" w:hAnsi="Cambria Math" w:cs="Cambria Math"/>
          <w:b/>
          <w:noProof/>
          <w:lang w:val="hy-AM"/>
        </w:rPr>
        <w:t>․</w:t>
      </w:r>
      <w:r>
        <w:rPr>
          <w:rFonts w:ascii="GHEA Grapalat" w:hAnsi="GHEA Grapalat" w:cs="Arial"/>
          <w:b/>
          <w:noProof/>
          <w:lang w:val="hy-AM"/>
        </w:rPr>
        <w:t xml:space="preserve"> ԾԱՌԱՅՈՒԹՅԱՆ ԸՆԴՈՒՆՄԱՆ և ՎՃԱՐՄԱՆ ԺԱՄԱՆԱԿԱՑՈՒՅՑԸ</w:t>
      </w:r>
    </w:p>
    <w:p>
      <w:pPr>
        <w:spacing w:line="360" w:lineRule="auto"/>
        <w:ind w:firstLine="567"/>
        <w:jc w:val="both"/>
        <w:rPr>
          <w:rFonts w:ascii="GHEA Grapalat" w:hAnsi="GHEA Grapalat"/>
          <w:lang w:val="hy-AM"/>
        </w:rPr>
      </w:pPr>
      <w:r>
        <w:rPr>
          <w:rFonts w:ascii="GHEA Grapalat" w:hAnsi="GHEA Grapalat"/>
          <w:lang w:val="hy-AM"/>
        </w:rPr>
        <w:tab/>
        <w:t xml:space="preserve">Կնքվելիք պայմանագրով ծառայության մատուցման ժամկետը սահմանվում է առնվազն 3 ամիս, որի հաշվարկը չի ներառում պատվիրատուի կողմից հաշվետվությունները հաստատելու հետ կապված ժամկետները: </w:t>
      </w:r>
    </w:p>
    <w:p>
      <w:pPr>
        <w:spacing w:line="360" w:lineRule="auto"/>
        <w:ind w:firstLine="567"/>
        <w:jc w:val="both"/>
        <w:rPr>
          <w:rFonts w:ascii="GHEA Grapalat" w:hAnsi="GHEA Grapalat" w:cs="Sylfaen"/>
          <w:noProof/>
          <w:lang w:val="hy-AM"/>
        </w:rPr>
      </w:pPr>
      <w:r>
        <w:rPr>
          <w:rFonts w:ascii="GHEA Grapalat" w:hAnsi="GHEA Grapalat"/>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Pr>
          <w:rFonts w:ascii="GHEA Grapalat" w:hAnsi="GHEA Grapalat" w:cs="Sylfaen"/>
          <w:noProof/>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Pr>
          <w:rFonts w:ascii="GHEA Grapalat" w:hAnsi="GHEA Grapalat" w:cs="Arial"/>
          <w:noProof/>
          <w:lang w:val="hy-AM"/>
        </w:rPr>
        <w:t>բ) կետում նշված չափանիշներին բավարարող աշխատանքային ռեսուրսների կողմից</w:t>
      </w:r>
      <w:r>
        <w:rPr>
          <w:rFonts w:ascii="GHEA Grapalat" w:hAnsi="GHEA Grapalat" w:cs="Sylfaen"/>
          <w:noProof/>
          <w:lang w:val="hy-AM"/>
        </w:rPr>
        <w:t>:</w:t>
      </w:r>
    </w:p>
    <w:p>
      <w:pPr>
        <w:spacing w:line="360" w:lineRule="auto"/>
        <w:ind w:firstLine="567"/>
        <w:jc w:val="both"/>
        <w:rPr>
          <w:rFonts w:ascii="GHEA Grapalat" w:hAnsi="GHEA Grapalat" w:cs="Sylfaen"/>
          <w:noProof/>
          <w:lang w:val="hy-AM"/>
        </w:rPr>
      </w:pPr>
      <w:r>
        <w:rPr>
          <w:rFonts w:ascii="GHEA Grapalat" w:hAnsi="GHEA Grapalat"/>
          <w:lang w:val="hy-AM"/>
        </w:rPr>
        <w:t>Պատվիրատուի</w:t>
      </w:r>
      <w:r>
        <w:rPr>
          <w:rFonts w:ascii="GHEA Grapalat" w:hAnsi="GHEA Grapalat" w:cs="Sylfaen"/>
          <w:noProof/>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ղեկավարը հաստատում է հանձնման-ընդունման արձանագրությունը:</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Մատուցված </w:t>
      </w:r>
      <w:r>
        <w:rPr>
          <w:rFonts w:ascii="GHEA Grapalat" w:hAnsi="GHEA Grapalat"/>
          <w:lang w:val="hy-AM"/>
        </w:rPr>
        <w:t>ծառայության</w:t>
      </w:r>
      <w:r>
        <w:rPr>
          <w:rFonts w:ascii="GHEA Grapalat" w:hAnsi="GHEA Grapalat" w:cs="Sylfaen"/>
          <w:noProof/>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pPr>
        <w:spacing w:line="360" w:lineRule="auto"/>
        <w:ind w:firstLine="567"/>
        <w:jc w:val="both"/>
        <w:rPr>
          <w:rFonts w:ascii="GHEA Grapalat" w:hAnsi="GHEA Grapalat"/>
          <w:lang w:val="hy-AM"/>
        </w:rPr>
      </w:pPr>
      <w:r>
        <w:rPr>
          <w:rFonts w:ascii="GHEA Grapalat" w:hAnsi="GHEA Grapalat" w:cs="Sylfaen"/>
          <w:noProof/>
          <w:lang w:val="hy-AM"/>
        </w:rPr>
        <w:t xml:space="preserve">Ընդ </w:t>
      </w:r>
      <w:r>
        <w:rPr>
          <w:rFonts w:ascii="GHEA Grapalat" w:hAnsi="GHEA Grapalat"/>
          <w:lang w:val="hy-AM"/>
        </w:rPr>
        <w:t>որում</w:t>
      </w:r>
      <w:r>
        <w:rPr>
          <w:rFonts w:ascii="GHEA Grapalat" w:hAnsi="GHEA Grapalat" w:cs="Sylfaen"/>
          <w:noProof/>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w:t>
      </w:r>
      <w:r>
        <w:rPr>
          <w:rFonts w:ascii="GHEA Grapalat" w:hAnsi="GHEA Grapalat" w:cs="Sylfaen"/>
          <w:noProof/>
          <w:lang w:val="hy-AM"/>
        </w:rPr>
        <w:lastRenderedPageBreak/>
        <w:t xml:space="preserve">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Pr>
          <w:rFonts w:ascii="GHEA Grapalat" w:hAnsi="GHEA Grapalat"/>
          <w:lang w:val="hy-AM"/>
        </w:rPr>
        <w:t>ծառայության ձեռքբերման համար նախատեսված հատկացումների հաշվին:</w:t>
      </w:r>
    </w:p>
    <w:p>
      <w:pPr>
        <w:spacing w:line="360" w:lineRule="auto"/>
        <w:ind w:firstLine="558"/>
        <w:jc w:val="both"/>
        <w:rPr>
          <w:rFonts w:ascii="GHEA Grapalat" w:hAnsi="GHEA Grapalat" w:cs="Arial"/>
          <w:b/>
          <w:noProof/>
          <w:lang w:val="hy-AM"/>
        </w:rPr>
      </w:pPr>
      <w:r>
        <w:rPr>
          <w:rFonts w:ascii="GHEA Grapalat" w:hAnsi="GHEA Grapalat" w:cs="Arial"/>
          <w:b/>
          <w:noProof/>
          <w:lang w:val="hy-AM"/>
        </w:rPr>
        <w:t>7</w:t>
      </w:r>
      <w:r>
        <w:rPr>
          <w:rFonts w:ascii="Cambria Math" w:eastAsia="MS Mincho" w:hAnsi="Cambria Math" w:cs="Cambria Math"/>
          <w:b/>
          <w:noProof/>
          <w:lang w:val="hy-AM"/>
        </w:rPr>
        <w:t>․</w:t>
      </w:r>
      <w:r>
        <w:rPr>
          <w:rFonts w:ascii="GHEA Grapalat" w:hAnsi="GHEA Grapalat" w:cs="Arial"/>
          <w:b/>
          <w:noProof/>
          <w:lang w:val="hy-AM"/>
        </w:rPr>
        <w:t xml:space="preserve"> ԱՇԽԱՏԱՆՔԱՅԻՆ ՌԵՍՈՒՐՍՆԵՐ</w:t>
      </w:r>
    </w:p>
    <w:p>
      <w:pPr>
        <w:spacing w:line="360" w:lineRule="auto"/>
        <w:ind w:firstLine="567"/>
        <w:jc w:val="both"/>
        <w:rPr>
          <w:rFonts w:ascii="GHEA Grapalat" w:hAnsi="GHEA Grapalat" w:cs="Sylfaen"/>
          <w:noProof/>
          <w:lang w:val="hy-AM"/>
        </w:rPr>
      </w:pPr>
      <w:r>
        <w:rPr>
          <w:rFonts w:ascii="GHEA Grapalat" w:hAnsi="GHEA Grapalat"/>
          <w:lang w:val="hy-AM"/>
        </w:rPr>
        <w:t>Աշխատանքային</w:t>
      </w:r>
      <w:r>
        <w:rPr>
          <w:rFonts w:ascii="GHEA Grapalat" w:hAnsi="GHEA Grapalat" w:cs="Sylfaen"/>
          <w:noProof/>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pPr>
        <w:spacing w:line="360" w:lineRule="auto"/>
        <w:ind w:firstLine="558"/>
        <w:jc w:val="both"/>
        <w:rPr>
          <w:rFonts w:ascii="GHEA Grapalat" w:hAnsi="GHEA Grapalat" w:cs="Arial"/>
          <w:b/>
          <w:noProof/>
          <w:lang w:val="hy-AM"/>
        </w:rPr>
      </w:pPr>
      <w:r>
        <w:rPr>
          <w:rFonts w:ascii="GHEA Grapalat" w:hAnsi="GHEA Grapalat" w:cs="Arial"/>
          <w:b/>
          <w:noProof/>
          <w:lang w:val="hy-AM"/>
        </w:rPr>
        <w:t>8. ԱՅԼ ՏԵՂԵԿՈՒԹՅՈՒՆՆԵՐ</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հանրային հատվածի կազմակերպության գործառույթները սահմանված են «Կառավարության կառուցվածքի և գործունեության մասին» օրենքով և այլ նորմատիվ իրավական ակտերով.</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Հրավերով կարող է սահմանվել նաև, որ մասնակիցը գնային առաջարկին կից ներկայացնում է ծառայության մատուցման առանձին տարրերի միավոր գներ. </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ներքին աուդիտի օրենսդրությունից բխող ներքին իրավական ակտերի օրինակները.</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տարեկան և եռամյա ռազմավարական ծրագրերը</w:t>
      </w:r>
      <w:r>
        <w:rPr>
          <w:rFonts w:ascii="Cambria Math" w:eastAsia="MS Mincho" w:hAnsi="Cambria Math" w:cs="Cambria Math"/>
          <w:noProof/>
          <w:lang w:val="hy-AM"/>
        </w:rPr>
        <w:t>․</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հետ կապված հարաբերությունները կարգավորվում են այդ թվում հետևյալ իրավական ակտերով.</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մասին» օրենք.</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2011 թվականի օգոստոսի 11-ի N 1233-Ն որոշում.</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lastRenderedPageBreak/>
        <w:t>Հայաստանի Հանրապետության ֆինանսների նախարարի 2011 թվականի դեկտեմբերի 8-ի N 974-Ն հրաման.</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17-ի N 143-Ն հրաման. </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23-ի N 165-Ն հրաման. </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2012 թվականի մայիսի 31-ի N 732-Ն որոշում.</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նոյեմբերի 30-ի N 1050-Ն հրաման.</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դեկտեմբերի 12-ի N 1096-Ն հրաման.</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2013 թվականի օգոստոսի 8-ի N 896-Ն որոշում.</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2013 թվականի փետրվարի 13-ի N 176-Ն որոշում.</w:t>
      </w:r>
    </w:p>
    <w:p>
      <w:pPr>
        <w:numPr>
          <w:ilvl w:val="0"/>
          <w:numId w:val="3"/>
        </w:numPr>
        <w:spacing w:line="360" w:lineRule="auto"/>
        <w:ind w:left="0" w:firstLine="558"/>
        <w:jc w:val="both"/>
        <w:rPr>
          <w:rFonts w:ascii="GHEA Grapalat" w:hAnsi="GHEA Grapalat" w:cs="Arial"/>
          <w:b/>
          <w:noProof/>
          <w:lang w:val="hy-AM"/>
        </w:rPr>
      </w:pPr>
      <w:r>
        <w:rPr>
          <w:rFonts w:ascii="GHEA Grapalat" w:hAnsi="GHEA Grapalat" w:cs="Sylfaen"/>
          <w:noProof/>
          <w:lang w:val="hy-AM"/>
        </w:rPr>
        <w:t>Հայաստանի Հանրապետության ֆինանսների նախարարի 2014 թվականի օգոստոսի 21-ի N 541-Ն հրաման:</w:t>
      </w:r>
    </w:p>
    <w:p>
      <w:pPr>
        <w:spacing w:line="360" w:lineRule="auto"/>
        <w:ind w:left="558"/>
        <w:jc w:val="both"/>
        <w:rPr>
          <w:rFonts w:ascii="GHEA Grapalat" w:hAnsi="GHEA Grapalat" w:cs="Arial"/>
          <w:b/>
          <w:noProof/>
          <w:lang w:val="hy-AM"/>
        </w:rPr>
      </w:pPr>
    </w:p>
    <w:p>
      <w:pPr>
        <w:ind w:firstLine="558"/>
        <w:jc w:val="both"/>
        <w:rPr>
          <w:rFonts w:ascii="GHEA Grapalat" w:hAnsi="GHEA Grapalat" w:cs="Arial"/>
          <w:b/>
          <w:noProof/>
          <w:lang w:val="hy-AM"/>
        </w:rPr>
      </w:pPr>
      <w:r>
        <w:rPr>
          <w:rFonts w:ascii="GHEA Grapalat" w:hAnsi="GHEA Grapalat" w:cs="Arial"/>
          <w:b/>
          <w:noProof/>
          <w:lang w:val="hy-AM"/>
        </w:rPr>
        <w:t>9</w:t>
      </w:r>
      <w:r>
        <w:rPr>
          <w:rFonts w:ascii="Cambria Math" w:eastAsia="MS Mincho" w:hAnsi="Cambria Math" w:cs="Cambria Math"/>
          <w:b/>
          <w:noProof/>
          <w:lang w:val="hy-AM"/>
        </w:rPr>
        <w:t>․</w:t>
      </w:r>
      <w:r>
        <w:rPr>
          <w:rFonts w:ascii="GHEA Grapalat" w:hAnsi="GHEA Grapalat" w:cs="Arial"/>
          <w:b/>
          <w:noProof/>
          <w:lang w:val="hy-AM"/>
        </w:rPr>
        <w:t xml:space="preserve"> ՊԱՏՎԻՐԱՏՈՒԻ ԿՈՂՄԻՑ ԼՐԱՑՄԱՆ ԵՆԹԱԿԱ ԱՂՅՈՒՍԱԿ</w:t>
      </w:r>
    </w:p>
    <w:p>
      <w:pPr>
        <w:ind w:firstLine="558"/>
        <w:jc w:val="both"/>
        <w:rPr>
          <w:rFonts w:ascii="GHEA Grapalat" w:hAnsi="GHEA Grapalat" w:cs="Arial"/>
          <w:b/>
          <w:noProof/>
          <w:lang w:val="hy-AM"/>
        </w:rPr>
      </w:pPr>
    </w:p>
    <w:p>
      <w:pPr>
        <w:ind w:firstLine="558"/>
        <w:jc w:val="both"/>
        <w:rPr>
          <w:rFonts w:ascii="GHEA Grapalat" w:hAnsi="GHEA Grapalat" w:cs="Arial"/>
          <w:b/>
          <w:noProof/>
          <w:lang w:val="hy-AM"/>
        </w:rPr>
      </w:pPr>
    </w:p>
    <w:tbl>
      <w:tblPr>
        <w:tblStyle w:val="TableGrid"/>
        <w:tblpPr w:leftFromText="180" w:rightFromText="180" w:vertAnchor="text" w:tblpXSpec="center" w:tblpY="1"/>
        <w:tblW w:w="11184" w:type="dxa"/>
        <w:tblLayout w:type="fixed"/>
        <w:tblLook w:val="0000" w:firstRow="0" w:lastRow="0" w:firstColumn="0" w:lastColumn="0" w:noHBand="0" w:noVBand="0"/>
      </w:tblPr>
      <w:tblGrid>
        <w:gridCol w:w="895"/>
        <w:gridCol w:w="3070"/>
        <w:gridCol w:w="1790"/>
        <w:gridCol w:w="2612"/>
        <w:gridCol w:w="1478"/>
        <w:gridCol w:w="1339"/>
      </w:tblGrid>
      <w:tr>
        <w:trPr>
          <w:trHeight w:val="50"/>
        </w:trPr>
        <w:tc>
          <w:tcPr>
            <w:tcW w:w="895" w:type="dxa"/>
            <w:vMerge w:val="restart"/>
          </w:tcPr>
          <w:p>
            <w:pPr>
              <w:pStyle w:val="ListParagraph"/>
              <w:tabs>
                <w:tab w:val="center" w:pos="4677"/>
                <w:tab w:val="right" w:pos="9355"/>
              </w:tabs>
              <w:ind w:left="1080" w:right="205"/>
              <w:rPr>
                <w:rFonts w:ascii="GHEA Grapalat" w:hAnsi="GHEA Grapalat" w:cs="Sylfaen"/>
                <w:b/>
                <w:color w:val="000000" w:themeColor="text1"/>
                <w:lang w:val="hy-AM"/>
              </w:rPr>
            </w:pPr>
            <w:r>
              <w:rPr>
                <w:rFonts w:ascii="GHEA Grapalat" w:hAnsi="GHEA Grapalat" w:cs="Sylfaen"/>
                <w:b/>
                <w:color w:val="000000" w:themeColor="text1"/>
              </w:rPr>
              <w:t>N</w:t>
            </w:r>
          </w:p>
        </w:tc>
        <w:tc>
          <w:tcPr>
            <w:tcW w:w="3070" w:type="dxa"/>
            <w:vMerge w:val="restart"/>
          </w:tcPr>
          <w:p>
            <w:pPr>
              <w:ind w:right="205" w:firstLine="360"/>
              <w:jc w:val="center"/>
              <w:rPr>
                <w:rFonts w:ascii="GHEA Grapalat" w:hAnsi="GHEA Grapalat" w:cs="Sylfaen"/>
                <w:b/>
                <w:color w:val="000000" w:themeColor="text1"/>
                <w:lang w:val="hy-AM"/>
              </w:rPr>
            </w:pPr>
            <w:r>
              <w:rPr>
                <w:rFonts w:ascii="GHEA Grapalat" w:hAnsi="GHEA Grapalat" w:cs="Sylfaen"/>
                <w:b/>
                <w:color w:val="000000" w:themeColor="text1"/>
                <w:lang w:val="hy-AM"/>
              </w:rPr>
              <w:t>Միավորի անվանումը</w:t>
            </w:r>
          </w:p>
        </w:tc>
        <w:tc>
          <w:tcPr>
            <w:tcW w:w="1790" w:type="dxa"/>
            <w:vMerge w:val="restart"/>
          </w:tcPr>
          <w:p>
            <w:pPr>
              <w:ind w:right="205" w:firstLine="360"/>
              <w:jc w:val="center"/>
              <w:rPr>
                <w:rFonts w:ascii="GHEA Grapalat" w:hAnsi="GHEA Grapalat" w:cs="Sylfaen"/>
                <w:b/>
                <w:color w:val="000000" w:themeColor="text1"/>
                <w:lang w:val="hy-AM"/>
              </w:rPr>
            </w:pPr>
            <w:r>
              <w:rPr>
                <w:rFonts w:ascii="GHEA Grapalat" w:hAnsi="GHEA Grapalat" w:cs="Sylfaen"/>
                <w:b/>
                <w:color w:val="000000" w:themeColor="text1"/>
                <w:lang w:val="hy-AM"/>
              </w:rPr>
              <w:t>Ռիսկի խումբը</w:t>
            </w:r>
          </w:p>
        </w:tc>
        <w:tc>
          <w:tcPr>
            <w:tcW w:w="2612" w:type="dxa"/>
            <w:vMerge w:val="restart"/>
          </w:tcPr>
          <w:p>
            <w:pPr>
              <w:ind w:right="205" w:hanging="58"/>
              <w:jc w:val="center"/>
              <w:rPr>
                <w:rFonts w:ascii="GHEA Grapalat" w:hAnsi="GHEA Grapalat" w:cs="Sylfaen"/>
                <w:b/>
                <w:color w:val="000000" w:themeColor="text1"/>
                <w:lang w:val="hy-AM"/>
              </w:rPr>
            </w:pPr>
            <w:r>
              <w:rPr>
                <w:rFonts w:ascii="GHEA Grapalat" w:hAnsi="GHEA Grapalat" w:cs="Sylfaen"/>
                <w:color w:val="000000" w:themeColor="text1"/>
                <w:lang w:val="hy-AM"/>
              </w:rPr>
              <w:t>Աուդիտի տեսակը</w:t>
            </w:r>
          </w:p>
        </w:tc>
        <w:tc>
          <w:tcPr>
            <w:tcW w:w="2817" w:type="dxa"/>
            <w:gridSpan w:val="2"/>
          </w:tcPr>
          <w:p>
            <w:pPr>
              <w:ind w:right="205" w:hanging="58"/>
              <w:jc w:val="center"/>
              <w:rPr>
                <w:rFonts w:ascii="GHEA Grapalat" w:hAnsi="GHEA Grapalat" w:cs="Sylfaen"/>
                <w:b/>
                <w:color w:val="000000" w:themeColor="text1"/>
                <w:lang w:val="hy-AM"/>
              </w:rPr>
            </w:pPr>
            <w:r>
              <w:rPr>
                <w:rFonts w:ascii="GHEA Grapalat" w:hAnsi="GHEA Grapalat" w:cs="Sylfaen"/>
                <w:b/>
                <w:color w:val="000000" w:themeColor="text1"/>
                <w:lang w:val="hy-AM"/>
              </w:rPr>
              <w:t xml:space="preserve">   Ընդհանուր մարդ/օր</w:t>
            </w:r>
          </w:p>
        </w:tc>
      </w:tr>
      <w:tr>
        <w:trPr>
          <w:trHeight w:val="49"/>
        </w:trPr>
        <w:tc>
          <w:tcPr>
            <w:tcW w:w="895" w:type="dxa"/>
            <w:vMerge/>
          </w:tcPr>
          <w:p>
            <w:pPr>
              <w:ind w:right="205" w:firstLine="360"/>
              <w:jc w:val="center"/>
              <w:rPr>
                <w:rFonts w:ascii="GHEA Grapalat" w:hAnsi="GHEA Grapalat" w:cs="Sylfaen"/>
                <w:b/>
                <w:color w:val="000000" w:themeColor="text1"/>
              </w:rPr>
            </w:pPr>
          </w:p>
        </w:tc>
        <w:tc>
          <w:tcPr>
            <w:tcW w:w="3070" w:type="dxa"/>
            <w:vMerge/>
          </w:tcPr>
          <w:p>
            <w:pPr>
              <w:ind w:right="205" w:firstLine="360"/>
              <w:jc w:val="center"/>
              <w:rPr>
                <w:rFonts w:ascii="GHEA Grapalat" w:hAnsi="GHEA Grapalat" w:cs="Sylfaen"/>
                <w:b/>
                <w:color w:val="000000" w:themeColor="text1"/>
                <w:lang w:val="hy-AM"/>
              </w:rPr>
            </w:pPr>
          </w:p>
        </w:tc>
        <w:tc>
          <w:tcPr>
            <w:tcW w:w="1790" w:type="dxa"/>
            <w:vMerge/>
          </w:tcPr>
          <w:p>
            <w:pPr>
              <w:ind w:right="205" w:firstLine="360"/>
              <w:jc w:val="center"/>
              <w:rPr>
                <w:rFonts w:ascii="GHEA Grapalat" w:hAnsi="GHEA Grapalat" w:cs="Sylfaen"/>
                <w:b/>
                <w:color w:val="000000" w:themeColor="text1"/>
                <w:lang w:val="hy-AM"/>
              </w:rPr>
            </w:pPr>
          </w:p>
        </w:tc>
        <w:tc>
          <w:tcPr>
            <w:tcW w:w="2612" w:type="dxa"/>
            <w:vMerge/>
          </w:tcPr>
          <w:p>
            <w:pPr>
              <w:ind w:right="205" w:firstLine="360"/>
              <w:jc w:val="center"/>
              <w:rPr>
                <w:rFonts w:ascii="GHEA Grapalat" w:hAnsi="GHEA Grapalat" w:cs="Sylfaen"/>
                <w:b/>
                <w:color w:val="000000" w:themeColor="text1"/>
                <w:lang w:val="hy-AM"/>
              </w:rPr>
            </w:pPr>
          </w:p>
        </w:tc>
        <w:tc>
          <w:tcPr>
            <w:tcW w:w="1478" w:type="dxa"/>
          </w:tcPr>
          <w:p>
            <w:pPr>
              <w:ind w:right="205" w:firstLine="360"/>
              <w:jc w:val="center"/>
              <w:rPr>
                <w:rFonts w:ascii="GHEA Grapalat" w:hAnsi="GHEA Grapalat" w:cs="Sylfaen"/>
                <w:b/>
                <w:color w:val="000000" w:themeColor="text1"/>
                <w:lang w:val="hy-AM"/>
              </w:rPr>
            </w:pPr>
            <w:r>
              <w:rPr>
                <w:rFonts w:ascii="GHEA Grapalat" w:hAnsi="GHEA Grapalat" w:cs="Sylfaen"/>
                <w:b/>
                <w:color w:val="000000" w:themeColor="text1"/>
                <w:lang w:val="hy-AM"/>
              </w:rPr>
              <w:t xml:space="preserve">Մարդ </w:t>
            </w:r>
          </w:p>
        </w:tc>
        <w:tc>
          <w:tcPr>
            <w:tcW w:w="1339" w:type="dxa"/>
          </w:tcPr>
          <w:p>
            <w:pPr>
              <w:ind w:right="205" w:firstLine="360"/>
              <w:jc w:val="center"/>
              <w:rPr>
                <w:rFonts w:ascii="GHEA Grapalat" w:hAnsi="GHEA Grapalat" w:cs="Sylfaen"/>
                <w:b/>
                <w:color w:val="000000" w:themeColor="text1"/>
                <w:lang w:val="hy-AM"/>
              </w:rPr>
            </w:pPr>
            <w:r>
              <w:rPr>
                <w:rFonts w:ascii="GHEA Grapalat" w:hAnsi="GHEA Grapalat" w:cs="Sylfaen"/>
                <w:b/>
                <w:color w:val="000000" w:themeColor="text1"/>
                <w:lang w:val="hy-AM"/>
              </w:rPr>
              <w:t xml:space="preserve">Օր </w:t>
            </w:r>
          </w:p>
        </w:tc>
      </w:tr>
      <w:tr>
        <w:trPr>
          <w:trHeight w:val="30"/>
        </w:trPr>
        <w:tc>
          <w:tcPr>
            <w:tcW w:w="895" w:type="dxa"/>
          </w:tcPr>
          <w:p>
            <w:pPr>
              <w:ind w:right="205" w:firstLine="157"/>
              <w:jc w:val="center"/>
              <w:rPr>
                <w:rFonts w:ascii="GHEA Grapalat" w:hAnsi="GHEA Grapalat" w:cs="Sylfaen"/>
                <w:color w:val="000000" w:themeColor="text1"/>
              </w:rPr>
            </w:pPr>
            <w:r>
              <w:rPr>
                <w:rFonts w:ascii="GHEA Grapalat" w:hAnsi="GHEA Grapalat" w:cs="Sylfaen"/>
                <w:color w:val="000000" w:themeColor="text1"/>
              </w:rPr>
              <w:t>1.</w:t>
            </w:r>
          </w:p>
        </w:tc>
        <w:tc>
          <w:tcPr>
            <w:tcW w:w="3070" w:type="dxa"/>
          </w:tcPr>
          <w:p>
            <w:pPr>
              <w:ind w:right="-41" w:firstLine="261"/>
              <w:jc w:val="center"/>
              <w:rPr>
                <w:rFonts w:ascii="GHEA Grapalat" w:hAnsi="GHEA Grapalat" w:cs="Sylfaen"/>
                <w:b/>
                <w:color w:val="000000" w:themeColor="text1"/>
              </w:rPr>
            </w:pPr>
            <w:proofErr w:type="spellStart"/>
            <w:r>
              <w:rPr>
                <w:rFonts w:ascii="GHEA Grapalat" w:hAnsi="GHEA Grapalat"/>
              </w:rPr>
              <w:t>Կենսաթոշակային</w:t>
            </w:r>
            <w:proofErr w:type="spellEnd"/>
            <w:r>
              <w:rPr>
                <w:rFonts w:ascii="GHEA Grapalat" w:hAnsi="GHEA Grapalat"/>
              </w:rPr>
              <w:t xml:space="preserve"> </w:t>
            </w:r>
            <w:proofErr w:type="spellStart"/>
            <w:r>
              <w:rPr>
                <w:rFonts w:ascii="GHEA Grapalat" w:hAnsi="GHEA Grapalat"/>
              </w:rPr>
              <w:t>ապահովության</w:t>
            </w:r>
            <w:proofErr w:type="spellEnd"/>
            <w:r>
              <w:rPr>
                <w:rFonts w:ascii="GHEA Grapalat" w:hAnsi="GHEA Grapalat"/>
              </w:rPr>
              <w:t xml:space="preserve"> և </w:t>
            </w:r>
            <w:proofErr w:type="spellStart"/>
            <w:r>
              <w:rPr>
                <w:rFonts w:ascii="GHEA Grapalat" w:hAnsi="GHEA Grapalat"/>
              </w:rPr>
              <w:t>այլ</w:t>
            </w:r>
            <w:proofErr w:type="spellEnd"/>
            <w:r>
              <w:rPr>
                <w:rFonts w:ascii="GHEA Grapalat" w:hAnsi="GHEA Grapalat"/>
              </w:rPr>
              <w:t xml:space="preserve"> </w:t>
            </w:r>
            <w:proofErr w:type="spellStart"/>
            <w:r>
              <w:rPr>
                <w:rFonts w:ascii="GHEA Grapalat" w:hAnsi="GHEA Grapalat"/>
              </w:rPr>
              <w:t>դրամական</w:t>
            </w:r>
            <w:proofErr w:type="spellEnd"/>
            <w:r>
              <w:rPr>
                <w:rFonts w:ascii="GHEA Grapalat" w:hAnsi="GHEA Grapalat"/>
              </w:rPr>
              <w:t xml:space="preserve"> </w:t>
            </w:r>
            <w:proofErr w:type="spellStart"/>
            <w:r>
              <w:rPr>
                <w:rFonts w:ascii="GHEA Grapalat" w:hAnsi="GHEA Grapalat"/>
              </w:rPr>
              <w:t>վճարների</w:t>
            </w:r>
            <w:proofErr w:type="spellEnd"/>
            <w:r>
              <w:rPr>
                <w:rFonts w:ascii="GHEA Grapalat" w:hAnsi="GHEA Grapalat"/>
              </w:rPr>
              <w:t xml:space="preserve"> </w:t>
            </w:r>
            <w:proofErr w:type="spellStart"/>
            <w:r>
              <w:rPr>
                <w:rFonts w:ascii="GHEA Grapalat" w:hAnsi="GHEA Grapalat"/>
              </w:rPr>
              <w:t>վարչություն</w:t>
            </w:r>
            <w:proofErr w:type="spellEnd"/>
            <w:r>
              <w:rPr>
                <w:rFonts w:ascii="GHEA Grapalat" w:hAnsi="GHEA Grapalat"/>
              </w:rPr>
              <w:t xml:space="preserve"> </w:t>
            </w:r>
          </w:p>
        </w:tc>
        <w:tc>
          <w:tcPr>
            <w:tcW w:w="1790" w:type="dxa"/>
          </w:tcPr>
          <w:p>
            <w:pPr>
              <w:ind w:right="205" w:firstLine="360"/>
              <w:jc w:val="center"/>
              <w:rPr>
                <w:rFonts w:ascii="GHEA Grapalat" w:hAnsi="GHEA Grapalat" w:cs="Sylfaen"/>
                <w:b/>
                <w:color w:val="000000" w:themeColor="text1"/>
                <w:lang w:val="hy-AM"/>
              </w:rPr>
            </w:pPr>
            <w:r>
              <w:rPr>
                <w:rFonts w:ascii="GHEA Grapalat" w:hAnsi="GHEA Grapalat" w:cs="Arial"/>
                <w:color w:val="000000" w:themeColor="text1"/>
                <w:lang w:val="hy-AM" w:eastAsia="ru-RU"/>
              </w:rPr>
              <w:t>Բարձր</w:t>
            </w:r>
          </w:p>
        </w:tc>
        <w:tc>
          <w:tcPr>
            <w:tcW w:w="2612" w:type="dxa"/>
          </w:tcPr>
          <w:p>
            <w:pPr>
              <w:ind w:right="205"/>
              <w:jc w:val="center"/>
              <w:rPr>
                <w:rFonts w:ascii="GHEA Grapalat" w:hAnsi="GHEA Grapalat" w:cs="Arial"/>
                <w:color w:val="000000" w:themeColor="text1"/>
                <w:lang w:val="hy-AM" w:eastAsia="ru-RU"/>
              </w:rPr>
            </w:pPr>
            <w:r>
              <w:rPr>
                <w:rFonts w:ascii="GHEA Grapalat" w:hAnsi="GHEA Grapalat" w:cs="Sylfaen"/>
                <w:color w:val="000000" w:themeColor="text1"/>
                <w:lang w:val="hy-AM"/>
              </w:rPr>
              <w:t>Համապատասխանության և կատարողականի աուդիտ</w:t>
            </w:r>
          </w:p>
        </w:tc>
        <w:tc>
          <w:tcPr>
            <w:tcW w:w="1478" w:type="dxa"/>
          </w:tcPr>
          <w:p>
            <w:pPr>
              <w:ind w:right="205" w:firstLine="360"/>
              <w:jc w:val="center"/>
              <w:rPr>
                <w:rFonts w:ascii="GHEA Grapalat" w:hAnsi="GHEA Grapalat" w:cs="Arial"/>
                <w:color w:val="000000" w:themeColor="text1"/>
                <w:lang w:val="hy-AM" w:eastAsia="ru-RU"/>
              </w:rPr>
            </w:pPr>
            <w:r>
              <w:rPr>
                <w:rFonts w:ascii="GHEA Grapalat" w:hAnsi="GHEA Grapalat" w:cs="Arial"/>
                <w:color w:val="000000" w:themeColor="text1"/>
                <w:lang w:val="hy-AM" w:eastAsia="ru-RU"/>
              </w:rPr>
              <w:t>4</w:t>
            </w:r>
          </w:p>
        </w:tc>
        <w:tc>
          <w:tcPr>
            <w:tcW w:w="1339" w:type="dxa"/>
          </w:tcPr>
          <w:p>
            <w:pPr>
              <w:ind w:right="205" w:firstLine="360"/>
              <w:jc w:val="center"/>
              <w:rPr>
                <w:rFonts w:ascii="GHEA Grapalat" w:hAnsi="GHEA Grapalat" w:cs="Arial"/>
                <w:color w:val="000000" w:themeColor="text1"/>
                <w:lang w:eastAsia="ru-RU"/>
              </w:rPr>
            </w:pPr>
            <w:r>
              <w:rPr>
                <w:rFonts w:ascii="GHEA Grapalat" w:hAnsi="GHEA Grapalat" w:cs="Arial"/>
                <w:color w:val="000000" w:themeColor="text1"/>
                <w:lang w:eastAsia="ru-RU"/>
              </w:rPr>
              <w:t>15</w:t>
            </w:r>
          </w:p>
        </w:tc>
      </w:tr>
      <w:tr>
        <w:trPr>
          <w:trHeight w:val="56"/>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lastRenderedPageBreak/>
              <w:t>2</w:t>
            </w:r>
            <w:r>
              <w:rPr>
                <w:rFonts w:ascii="Cambria Math" w:hAnsi="Cambria Math" w:cs="Cambria Math"/>
                <w:color w:val="000000" w:themeColor="text1"/>
                <w:lang w:val="hy-AM"/>
              </w:rPr>
              <w:t>․</w:t>
            </w:r>
          </w:p>
        </w:tc>
        <w:tc>
          <w:tcPr>
            <w:tcW w:w="3070" w:type="dxa"/>
          </w:tcPr>
          <w:p>
            <w:pPr>
              <w:ind w:right="205" w:firstLine="261"/>
              <w:jc w:val="center"/>
              <w:rPr>
                <w:rFonts w:ascii="GHEA Grapalat" w:hAnsi="GHEA Grapalat" w:cs="Arial"/>
                <w:color w:val="000000" w:themeColor="text1"/>
                <w:lang w:val="hy-AM" w:eastAsia="ru-RU"/>
              </w:rPr>
            </w:pPr>
            <w:hyperlink r:id="rId5" w:history="1">
              <w:r>
                <w:rPr>
                  <w:rFonts w:ascii="GHEA Grapalat" w:hAnsi="GHEA Grapalat"/>
                  <w:shd w:val="clear" w:color="auto" w:fill="FFFFFF"/>
                  <w:lang w:val="hy-AM"/>
                </w:rPr>
                <w:t>Հավասար հնարավորությունների ապահովման վարչություն</w:t>
              </w:r>
            </w:hyperlink>
          </w:p>
        </w:tc>
        <w:tc>
          <w:tcPr>
            <w:tcW w:w="1790" w:type="dxa"/>
          </w:tcPr>
          <w:p>
            <w:pPr>
              <w:ind w:right="205" w:firstLine="360"/>
              <w:jc w:val="center"/>
              <w:rPr>
                <w:rFonts w:ascii="GHEA Grapalat" w:hAnsi="GHEA Grapalat"/>
                <w:color w:val="000000" w:themeColor="text1"/>
                <w:lang w:val="hy-AM"/>
              </w:rPr>
            </w:pPr>
          </w:p>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Բարձր</w:t>
            </w:r>
          </w:p>
        </w:tc>
        <w:tc>
          <w:tcPr>
            <w:tcW w:w="2612" w:type="dxa"/>
          </w:tcPr>
          <w:p>
            <w:pPr>
              <w:ind w:right="205"/>
              <w:jc w:val="center"/>
              <w:rPr>
                <w:rFonts w:ascii="GHEA Grapalat" w:hAnsi="GHEA Grapalat"/>
                <w:color w:val="000000" w:themeColor="text1"/>
              </w:rPr>
            </w:pPr>
            <w:r>
              <w:rPr>
                <w:rFonts w:ascii="GHEA Grapalat" w:hAnsi="GHEA Grapalat" w:cs="Sylfaen"/>
                <w:color w:val="000000" w:themeColor="text1"/>
                <w:lang w:val="hy-AM"/>
              </w:rPr>
              <w:t>Համապատասխանության և կատարողականի աուդիտ</w:t>
            </w:r>
          </w:p>
        </w:tc>
        <w:tc>
          <w:tcPr>
            <w:tcW w:w="1478" w:type="dxa"/>
          </w:tcPr>
          <w:p>
            <w:pPr>
              <w:ind w:right="205" w:firstLine="360"/>
              <w:jc w:val="center"/>
              <w:rPr>
                <w:rFonts w:ascii="GHEA Grapalat" w:hAnsi="GHEA Grapalat"/>
                <w:color w:val="000000" w:themeColor="text1"/>
              </w:rPr>
            </w:pPr>
            <w:r>
              <w:rPr>
                <w:rFonts w:ascii="GHEA Grapalat" w:hAnsi="GHEA Grapalat"/>
                <w:color w:val="000000" w:themeColor="text1"/>
              </w:rPr>
              <w:t>3</w:t>
            </w:r>
          </w:p>
        </w:tc>
        <w:tc>
          <w:tcPr>
            <w:tcW w:w="1339" w:type="dxa"/>
          </w:tcPr>
          <w:p>
            <w:pPr>
              <w:ind w:right="205" w:firstLine="360"/>
              <w:jc w:val="center"/>
              <w:rPr>
                <w:rFonts w:ascii="GHEA Grapalat" w:hAnsi="GHEA Grapalat"/>
                <w:color w:val="000000" w:themeColor="text1"/>
              </w:rPr>
            </w:pPr>
            <w:r>
              <w:rPr>
                <w:rFonts w:ascii="GHEA Grapalat" w:hAnsi="GHEA Grapalat"/>
                <w:color w:val="000000" w:themeColor="text1"/>
              </w:rPr>
              <w:t>15</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3</w:t>
            </w:r>
            <w:r>
              <w:rPr>
                <w:rFonts w:ascii="Cambria Math" w:hAnsi="Cambria Math" w:cs="Cambria Math"/>
                <w:color w:val="000000" w:themeColor="text1"/>
                <w:lang w:val="hy-AM"/>
              </w:rPr>
              <w:t>․</w:t>
            </w:r>
          </w:p>
        </w:tc>
        <w:tc>
          <w:tcPr>
            <w:tcW w:w="3070" w:type="dxa"/>
          </w:tcPr>
          <w:p>
            <w:pPr>
              <w:jc w:val="center"/>
              <w:rPr>
                <w:rFonts w:ascii="GHEA Grapalat" w:hAnsi="GHEA Grapalat" w:cs="Calibri"/>
              </w:rPr>
            </w:pPr>
            <w:proofErr w:type="spellStart"/>
            <w:r>
              <w:rPr>
                <w:rFonts w:ascii="GHEA Grapalat" w:hAnsi="GHEA Grapalat"/>
              </w:rPr>
              <w:t>Անձնակազմի</w:t>
            </w:r>
            <w:proofErr w:type="spellEnd"/>
            <w:r>
              <w:rPr>
                <w:rFonts w:ascii="GHEA Grapalat" w:hAnsi="GHEA Grapalat"/>
              </w:rPr>
              <w:t xml:space="preserve"> </w:t>
            </w:r>
            <w:proofErr w:type="spellStart"/>
            <w:r>
              <w:rPr>
                <w:rFonts w:ascii="GHEA Grapalat" w:hAnsi="GHEA Grapalat"/>
              </w:rPr>
              <w:t>կառավարման</w:t>
            </w:r>
            <w:proofErr w:type="spellEnd"/>
            <w:r>
              <w:rPr>
                <w:rFonts w:ascii="GHEA Grapalat" w:hAnsi="GHEA Grapalat"/>
              </w:rPr>
              <w:t xml:space="preserve"> </w:t>
            </w:r>
            <w:proofErr w:type="spellStart"/>
            <w:r>
              <w:rPr>
                <w:rFonts w:ascii="GHEA Grapalat" w:hAnsi="GHEA Grapalat"/>
              </w:rPr>
              <w:t>բաժին</w:t>
            </w:r>
            <w:proofErr w:type="spellEnd"/>
          </w:p>
        </w:tc>
        <w:tc>
          <w:tcPr>
            <w:tcW w:w="1790" w:type="dxa"/>
          </w:tcPr>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Բարձր</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10</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4</w:t>
            </w:r>
            <w:r>
              <w:rPr>
                <w:rFonts w:ascii="Cambria Math" w:hAnsi="Cambria Math" w:cs="Cambria Math"/>
                <w:color w:val="000000" w:themeColor="text1"/>
                <w:lang w:val="hy-AM"/>
              </w:rPr>
              <w:t>․</w:t>
            </w:r>
          </w:p>
        </w:tc>
        <w:tc>
          <w:tcPr>
            <w:tcW w:w="3070" w:type="dxa"/>
          </w:tcPr>
          <w:p>
            <w:pPr>
              <w:ind w:right="205" w:firstLine="360"/>
              <w:jc w:val="center"/>
              <w:rPr>
                <w:rFonts w:ascii="GHEA Grapalat" w:hAnsi="GHEA Grapalat" w:cs="Arial"/>
                <w:color w:val="000000" w:themeColor="text1"/>
                <w:lang w:val="hy-AM" w:eastAsia="ru-RU"/>
              </w:rPr>
            </w:pPr>
            <w:r>
              <w:rPr>
                <w:rFonts w:ascii="GHEA Grapalat" w:hAnsi="GHEA Grapalat" w:cs="Sylfaen"/>
                <w:lang w:val="hy-AM"/>
              </w:rPr>
              <w:t>Զոհված զինծառայողների ծնողների՛ վերարտադրողականության օժանդակ տեխնոլոգիաների կիրառմամբ բժշկական օգնության ևսպասարկման որոշ ծախսերի մասնակի փոխհատուցման տրամադրում</w:t>
            </w:r>
          </w:p>
        </w:tc>
        <w:tc>
          <w:tcPr>
            <w:tcW w:w="1790" w:type="dxa"/>
          </w:tcPr>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Բարձր</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10</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5</w:t>
            </w:r>
            <w:r>
              <w:rPr>
                <w:rFonts w:ascii="Cambria Math" w:hAnsi="Cambria Math" w:cs="Cambria Math"/>
                <w:color w:val="000000" w:themeColor="text1"/>
                <w:lang w:val="hy-AM"/>
              </w:rPr>
              <w:t>․</w:t>
            </w:r>
          </w:p>
        </w:tc>
        <w:tc>
          <w:tcPr>
            <w:tcW w:w="3070" w:type="dxa"/>
          </w:tcPr>
          <w:p>
            <w:pPr>
              <w:ind w:right="205" w:firstLine="360"/>
              <w:jc w:val="center"/>
              <w:rPr>
                <w:rFonts w:ascii="GHEA Grapalat" w:hAnsi="GHEA Grapalat" w:cs="Arial"/>
                <w:color w:val="000000" w:themeColor="text1"/>
                <w:lang w:val="hy-AM" w:eastAsia="ru-RU"/>
              </w:rPr>
            </w:pPr>
            <w:r>
              <w:rPr>
                <w:rFonts w:ascii="GHEA Grapalat" w:hAnsi="GHEA Grapalat"/>
                <w:lang w:val="hy-AM" w:eastAsia="ru-RU"/>
              </w:rPr>
              <w:t>«Նորք» շուրջօրյա խնամքի կենտրոն» ՊՈԱԿ</w:t>
            </w:r>
          </w:p>
        </w:tc>
        <w:tc>
          <w:tcPr>
            <w:tcW w:w="1790" w:type="dxa"/>
          </w:tcPr>
          <w:p>
            <w:pPr>
              <w:ind w:right="205" w:firstLine="360"/>
              <w:jc w:val="center"/>
              <w:rPr>
                <w:rFonts w:ascii="GHEA Grapalat" w:hAnsi="GHEA Grapalat" w:cs="Arial"/>
                <w:color w:val="000000" w:themeColor="text1"/>
                <w:lang w:eastAsia="ru-RU"/>
              </w:rPr>
            </w:pPr>
            <w:proofErr w:type="spellStart"/>
            <w:r>
              <w:rPr>
                <w:rFonts w:ascii="GHEA Grapalat" w:hAnsi="GHEA Grapalat"/>
                <w:color w:val="000000" w:themeColor="text1"/>
              </w:rPr>
              <w:t>Զգայուն</w:t>
            </w:r>
            <w:proofErr w:type="spellEnd"/>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10</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6</w:t>
            </w:r>
            <w:r>
              <w:rPr>
                <w:rFonts w:ascii="Cambria Math" w:hAnsi="Cambria Math" w:cs="Cambria Math"/>
                <w:color w:val="000000" w:themeColor="text1"/>
                <w:lang w:val="hy-AM"/>
              </w:rPr>
              <w:t>․</w:t>
            </w:r>
          </w:p>
        </w:tc>
        <w:tc>
          <w:tcPr>
            <w:tcW w:w="3070" w:type="dxa"/>
          </w:tcPr>
          <w:p>
            <w:pPr>
              <w:jc w:val="center"/>
              <w:rPr>
                <w:rFonts w:ascii="GHEA Grapalat" w:hAnsi="GHEA Grapalat"/>
                <w:lang w:val="hy-AM" w:eastAsia="ru-RU"/>
              </w:rPr>
            </w:pPr>
            <w:r>
              <w:rPr>
                <w:rFonts w:ascii="GHEA Grapalat" w:hAnsi="GHEA Grapalat"/>
                <w:lang w:val="hy-AM" w:eastAsia="ru-RU"/>
              </w:rPr>
              <w:t xml:space="preserve">«Վարդենիսի շուրջօրյա խնամքի մասնագիտացված կենտրոն» </w:t>
            </w:r>
          </w:p>
          <w:p>
            <w:pPr>
              <w:ind w:right="205" w:firstLine="360"/>
              <w:jc w:val="center"/>
              <w:rPr>
                <w:rFonts w:ascii="GHEA Grapalat" w:hAnsi="GHEA Grapalat" w:cs="Sylfaen"/>
                <w:b/>
                <w:color w:val="000000" w:themeColor="text1"/>
              </w:rPr>
            </w:pPr>
            <w:r>
              <w:rPr>
                <w:rFonts w:ascii="GHEA Grapalat" w:hAnsi="GHEA Grapalat"/>
                <w:lang w:val="hy-AM" w:eastAsia="ru-RU"/>
              </w:rPr>
              <w:t>ՊՈԱԿ</w:t>
            </w:r>
          </w:p>
        </w:tc>
        <w:tc>
          <w:tcPr>
            <w:tcW w:w="1790" w:type="dxa"/>
          </w:tcPr>
          <w:p>
            <w:pPr>
              <w:ind w:right="205" w:firstLine="360"/>
              <w:jc w:val="center"/>
              <w:rPr>
                <w:rFonts w:ascii="GHEA Grapalat" w:hAnsi="GHEA Grapalat" w:cs="Sylfaen"/>
                <w:b/>
                <w:color w:val="000000" w:themeColor="text1"/>
                <w:lang w:val="hy-AM"/>
              </w:rPr>
            </w:pPr>
            <w:r>
              <w:rPr>
                <w:rFonts w:ascii="GHEA Grapalat" w:hAnsi="GHEA Grapalat" w:cs="Arial"/>
                <w:color w:val="000000" w:themeColor="text1"/>
                <w:lang w:val="hy-AM" w:eastAsia="ru-RU"/>
              </w:rPr>
              <w:t>Զգայուն</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rPr>
            </w:pPr>
            <w:r>
              <w:rPr>
                <w:rFonts w:ascii="GHEA Grapalat" w:hAnsi="GHEA Grapalat"/>
                <w:color w:val="000000" w:themeColor="text1"/>
                <w:lang w:val="hy-AM"/>
              </w:rPr>
              <w:t>15</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7</w:t>
            </w:r>
            <w:r>
              <w:rPr>
                <w:rFonts w:ascii="Cambria Math" w:hAnsi="Cambria Math" w:cs="Cambria Math"/>
                <w:color w:val="000000" w:themeColor="text1"/>
                <w:lang w:val="hy-AM"/>
              </w:rPr>
              <w:t>․</w:t>
            </w:r>
          </w:p>
        </w:tc>
        <w:tc>
          <w:tcPr>
            <w:tcW w:w="3070" w:type="dxa"/>
          </w:tcPr>
          <w:p>
            <w:pPr>
              <w:ind w:right="205" w:firstLine="261"/>
              <w:jc w:val="center"/>
              <w:rPr>
                <w:rFonts w:ascii="GHEA Grapalat" w:hAnsi="GHEA Grapalat" w:cs="Arial"/>
                <w:color w:val="000000" w:themeColor="text1"/>
                <w:lang w:val="hy-AM" w:eastAsia="ru-RU"/>
              </w:rPr>
            </w:pPr>
            <w:r>
              <w:rPr>
                <w:rFonts w:ascii="GHEA Grapalat" w:hAnsi="GHEA Grapalat" w:cs="Calibri"/>
                <w:lang w:val="hy-AM"/>
              </w:rPr>
              <w:t>«Մարի Իզմիրլյանի անվան անկատուն» ՊՈԱԿ</w:t>
            </w:r>
          </w:p>
        </w:tc>
        <w:tc>
          <w:tcPr>
            <w:tcW w:w="1790" w:type="dxa"/>
          </w:tcPr>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Զգայուն</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rPr>
            </w:pPr>
            <w:r>
              <w:rPr>
                <w:rFonts w:ascii="GHEA Grapalat" w:hAnsi="GHEA Grapalat"/>
                <w:color w:val="000000" w:themeColor="text1"/>
                <w:lang w:val="hy-AM"/>
              </w:rPr>
              <w:t>1</w:t>
            </w:r>
            <w:r>
              <w:rPr>
                <w:rFonts w:ascii="GHEA Grapalat" w:hAnsi="GHEA Grapalat"/>
                <w:color w:val="000000" w:themeColor="text1"/>
              </w:rPr>
              <w:t>0</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8</w:t>
            </w:r>
            <w:r>
              <w:rPr>
                <w:rFonts w:ascii="Cambria Math" w:hAnsi="Cambria Math" w:cs="Cambria Math"/>
                <w:color w:val="000000" w:themeColor="text1"/>
                <w:lang w:val="hy-AM"/>
              </w:rPr>
              <w:t>․</w:t>
            </w:r>
          </w:p>
        </w:tc>
        <w:tc>
          <w:tcPr>
            <w:tcW w:w="3070" w:type="dxa"/>
          </w:tcPr>
          <w:p>
            <w:pPr>
              <w:ind w:right="205" w:firstLine="360"/>
              <w:jc w:val="center"/>
              <w:rPr>
                <w:rFonts w:ascii="GHEA Grapalat" w:hAnsi="GHEA Grapalat" w:cs="Sylfaen"/>
                <w:b/>
                <w:color w:val="000000" w:themeColor="text1"/>
                <w:lang w:val="hy-AM"/>
              </w:rPr>
            </w:pPr>
            <w:r>
              <w:rPr>
                <w:rFonts w:ascii="GHEA Grapalat" w:hAnsi="GHEA Grapalat" w:cs="Sylfaen"/>
                <w:lang w:val="de-DE"/>
              </w:rPr>
              <w:t xml:space="preserve">«Երևանի «Մանկան տուն» ՊՈԱԿ </w:t>
            </w:r>
          </w:p>
        </w:tc>
        <w:tc>
          <w:tcPr>
            <w:tcW w:w="1790" w:type="dxa"/>
          </w:tcPr>
          <w:p>
            <w:pPr>
              <w:ind w:right="205" w:firstLine="360"/>
              <w:jc w:val="center"/>
              <w:rPr>
                <w:rFonts w:ascii="GHEA Grapalat" w:hAnsi="GHEA Grapalat" w:cs="Sylfaen"/>
                <w:b/>
                <w:color w:val="000000" w:themeColor="text1"/>
                <w:lang w:val="hy-AM"/>
              </w:rPr>
            </w:pPr>
            <w:r>
              <w:rPr>
                <w:rFonts w:ascii="GHEA Grapalat" w:hAnsi="GHEA Grapalat" w:cs="Arial"/>
                <w:color w:val="000000" w:themeColor="text1"/>
                <w:lang w:val="hy-AM" w:eastAsia="ru-RU"/>
              </w:rPr>
              <w:t>Զգայուն</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15</w:t>
            </w:r>
          </w:p>
        </w:tc>
      </w:tr>
      <w:tr>
        <w:trPr>
          <w:trHeight w:val="24"/>
        </w:trPr>
        <w:tc>
          <w:tcPr>
            <w:tcW w:w="895" w:type="dxa"/>
            <w:tcBorders>
              <w:bottom w:val="single" w:sz="4" w:space="0" w:color="auto"/>
            </w:tcBorders>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lastRenderedPageBreak/>
              <w:t>9</w:t>
            </w:r>
            <w:r>
              <w:rPr>
                <w:rFonts w:ascii="Cambria Math" w:hAnsi="Cambria Math" w:cs="Cambria Math"/>
                <w:color w:val="000000" w:themeColor="text1"/>
                <w:lang w:val="hy-AM"/>
              </w:rPr>
              <w:t>․</w:t>
            </w:r>
          </w:p>
        </w:tc>
        <w:tc>
          <w:tcPr>
            <w:tcW w:w="3070" w:type="dxa"/>
            <w:tcBorders>
              <w:bottom w:val="single" w:sz="4" w:space="0" w:color="auto"/>
            </w:tcBorders>
          </w:tcPr>
          <w:p>
            <w:pPr>
              <w:ind w:right="205" w:firstLine="261"/>
              <w:jc w:val="center"/>
              <w:rPr>
                <w:rFonts w:ascii="GHEA Grapalat" w:hAnsi="GHEA Grapalat" w:cs="Arial"/>
                <w:color w:val="000000" w:themeColor="text1"/>
                <w:lang w:val="hy-AM" w:eastAsia="ru-RU"/>
              </w:rPr>
            </w:pPr>
            <w:r>
              <w:rPr>
                <w:rFonts w:ascii="GHEA Grapalat" w:hAnsi="GHEA Grapalat"/>
                <w:lang w:val="hy-AM" w:eastAsia="ru-RU"/>
              </w:rPr>
              <w:t>«Ձորակ» շուրջօրյա մասնագիտացված խնամքի կենտրոն» ՊՈԱԿ</w:t>
            </w:r>
          </w:p>
        </w:tc>
        <w:tc>
          <w:tcPr>
            <w:tcW w:w="1790" w:type="dxa"/>
            <w:tcBorders>
              <w:bottom w:val="single" w:sz="4" w:space="0" w:color="auto"/>
            </w:tcBorders>
          </w:tcPr>
          <w:p>
            <w:pPr>
              <w:ind w:right="205" w:firstLine="360"/>
              <w:jc w:val="center"/>
              <w:rPr>
                <w:rFonts w:ascii="GHEA Grapalat" w:hAnsi="GHEA Grapalat"/>
                <w:color w:val="000000" w:themeColor="text1"/>
                <w:lang w:val="hy-AM"/>
              </w:rPr>
            </w:pPr>
          </w:p>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Զգայուն</w:t>
            </w:r>
          </w:p>
        </w:tc>
        <w:tc>
          <w:tcPr>
            <w:tcW w:w="2612" w:type="dxa"/>
            <w:tcBorders>
              <w:bottom w:val="single" w:sz="4" w:space="0" w:color="auto"/>
            </w:tcBorders>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Borders>
              <w:bottom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Borders>
              <w:bottom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15</w:t>
            </w:r>
          </w:p>
        </w:tc>
      </w:tr>
      <w:tr>
        <w:trPr>
          <w:trHeight w:val="24"/>
        </w:trPr>
        <w:tc>
          <w:tcPr>
            <w:tcW w:w="895" w:type="dxa"/>
            <w:tcBorders>
              <w:bottom w:val="single" w:sz="4" w:space="0" w:color="auto"/>
            </w:tcBorders>
          </w:tcPr>
          <w:p>
            <w:pPr>
              <w:ind w:right="205" w:firstLine="157"/>
              <w:rPr>
                <w:rFonts w:ascii="GHEA Grapalat" w:hAnsi="GHEA Grapalat" w:cs="Sylfaen"/>
                <w:color w:val="000000" w:themeColor="text1"/>
                <w:lang w:val="hy-AM"/>
              </w:rPr>
            </w:pPr>
            <w:r>
              <w:rPr>
                <w:rFonts w:ascii="GHEA Grapalat" w:hAnsi="GHEA Grapalat" w:cs="Sylfaen"/>
                <w:color w:val="000000" w:themeColor="text1"/>
                <w:lang w:val="hy-AM"/>
              </w:rPr>
              <w:t>10</w:t>
            </w:r>
          </w:p>
        </w:tc>
        <w:tc>
          <w:tcPr>
            <w:tcW w:w="3070" w:type="dxa"/>
            <w:tcBorders>
              <w:bottom w:val="single" w:sz="4" w:space="0" w:color="auto"/>
            </w:tcBorders>
          </w:tcPr>
          <w:p>
            <w:pPr>
              <w:ind w:right="205" w:firstLine="261"/>
              <w:jc w:val="center"/>
              <w:rPr>
                <w:rFonts w:ascii="GHEA Grapalat" w:hAnsi="GHEA Grapalat" w:cs="Sylfaen"/>
                <w:color w:val="000000" w:themeColor="text1"/>
                <w:lang w:val="hy-AM"/>
              </w:rPr>
            </w:pPr>
            <w:r>
              <w:rPr>
                <w:rFonts w:ascii="GHEA Grapalat" w:hAnsi="GHEA Grapalat" w:cs="Sylfaen"/>
                <w:lang w:val="de-DE"/>
              </w:rPr>
              <w:t>Գյումրու «Երեխաների տուն» ՊՈԱԿ</w:t>
            </w:r>
          </w:p>
        </w:tc>
        <w:tc>
          <w:tcPr>
            <w:tcW w:w="1790" w:type="dxa"/>
            <w:tcBorders>
              <w:bottom w:val="single" w:sz="4" w:space="0" w:color="auto"/>
            </w:tcBorders>
          </w:tcPr>
          <w:p>
            <w:pPr>
              <w:ind w:right="205" w:firstLine="360"/>
              <w:jc w:val="center"/>
              <w:rPr>
                <w:rFonts w:ascii="GHEA Grapalat" w:hAnsi="GHEA Grapalat"/>
                <w:color w:val="000000" w:themeColor="text1"/>
                <w:lang w:val="hy-AM"/>
              </w:rPr>
            </w:pPr>
          </w:p>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Միջին</w:t>
            </w:r>
          </w:p>
        </w:tc>
        <w:tc>
          <w:tcPr>
            <w:tcW w:w="2612" w:type="dxa"/>
            <w:tcBorders>
              <w:bottom w:val="single" w:sz="4" w:space="0" w:color="auto"/>
            </w:tcBorders>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Borders>
              <w:bottom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Borders>
              <w:bottom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15</w:t>
            </w:r>
          </w:p>
        </w:tc>
      </w:tr>
      <w:tr>
        <w:trPr>
          <w:trHeight w:val="24"/>
        </w:trPr>
        <w:tc>
          <w:tcPr>
            <w:tcW w:w="895" w:type="dxa"/>
            <w:tcBorders>
              <w:top w:val="single" w:sz="4" w:space="0" w:color="auto"/>
              <w:left w:val="single" w:sz="4" w:space="0" w:color="auto"/>
              <w:bottom w:val="single" w:sz="4" w:space="0" w:color="auto"/>
              <w:right w:val="single" w:sz="4" w:space="0" w:color="auto"/>
            </w:tcBorders>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11</w:t>
            </w:r>
            <w:r>
              <w:rPr>
                <w:rFonts w:ascii="Cambria Math" w:hAnsi="Cambria Math" w:cs="Cambria Math"/>
                <w:color w:val="000000" w:themeColor="text1"/>
                <w:lang w:val="hy-AM"/>
              </w:rPr>
              <w:t>․</w:t>
            </w:r>
          </w:p>
        </w:tc>
        <w:tc>
          <w:tcPr>
            <w:tcW w:w="3070" w:type="dxa"/>
            <w:tcBorders>
              <w:top w:val="single" w:sz="4" w:space="0" w:color="auto"/>
              <w:left w:val="single" w:sz="4" w:space="0" w:color="auto"/>
              <w:bottom w:val="single" w:sz="4" w:space="0" w:color="auto"/>
              <w:right w:val="single" w:sz="4" w:space="0" w:color="auto"/>
            </w:tcBorders>
          </w:tcPr>
          <w:p>
            <w:pPr>
              <w:ind w:right="205" w:firstLine="261"/>
              <w:jc w:val="center"/>
              <w:rPr>
                <w:rFonts w:ascii="GHEA Grapalat" w:hAnsi="GHEA Grapalat" w:cs="Sylfaen"/>
                <w:color w:val="000000" w:themeColor="text1"/>
                <w:lang w:val="hy-AM"/>
              </w:rPr>
            </w:pPr>
            <w:r>
              <w:rPr>
                <w:rFonts w:ascii="GHEA Grapalat" w:hAnsi="GHEA Grapalat" w:cs="Sylfaen"/>
                <w:color w:val="000000" w:themeColor="text1"/>
                <w:lang w:val="hy-AM"/>
              </w:rPr>
              <w:t>Գնումների գործընթաց</w:t>
            </w:r>
          </w:p>
        </w:tc>
        <w:tc>
          <w:tcPr>
            <w:tcW w:w="1790"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rPr>
            </w:pPr>
          </w:p>
          <w:p>
            <w:pPr>
              <w:ind w:right="205" w:firstLine="360"/>
              <w:jc w:val="center"/>
              <w:rPr>
                <w:rFonts w:ascii="GHEA Grapalat" w:hAnsi="GHEA Grapalat"/>
                <w:color w:val="000000" w:themeColor="text1"/>
              </w:rPr>
            </w:pPr>
            <w:proofErr w:type="spellStart"/>
            <w:r>
              <w:rPr>
                <w:rFonts w:ascii="GHEA Grapalat" w:hAnsi="GHEA Grapalat"/>
                <w:color w:val="000000" w:themeColor="text1"/>
              </w:rPr>
              <w:t>Բարձր</w:t>
            </w:r>
            <w:proofErr w:type="spellEnd"/>
          </w:p>
        </w:tc>
        <w:tc>
          <w:tcPr>
            <w:tcW w:w="2612" w:type="dxa"/>
            <w:tcBorders>
              <w:top w:val="single" w:sz="4" w:space="0" w:color="auto"/>
              <w:left w:val="single" w:sz="4" w:space="0" w:color="auto"/>
              <w:bottom w:val="single" w:sz="4" w:space="0" w:color="auto"/>
              <w:right w:val="single" w:sz="4" w:space="0" w:color="auto"/>
            </w:tcBorders>
          </w:tcPr>
          <w:p>
            <w:pPr>
              <w:ind w:right="205"/>
              <w:jc w:val="center"/>
              <w:rPr>
                <w:rFonts w:ascii="GHEA Grapalat" w:hAnsi="GHEA Grapalat" w:cs="Sylfaen"/>
                <w:color w:val="000000" w:themeColor="text1"/>
              </w:rPr>
            </w:pPr>
            <w:r>
              <w:rPr>
                <w:rFonts w:ascii="GHEA Grapalat" w:hAnsi="GHEA Grapalat" w:cs="Sylfaen"/>
                <w:color w:val="000000" w:themeColor="text1"/>
                <w:lang w:val="hy-AM"/>
              </w:rPr>
              <w:t>Համապատասխանության և կատարողականի աուդիտ</w:t>
            </w:r>
          </w:p>
        </w:tc>
        <w:tc>
          <w:tcPr>
            <w:tcW w:w="1478"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rPr>
            </w:pPr>
            <w:r>
              <w:rPr>
                <w:rFonts w:ascii="GHEA Grapalat" w:hAnsi="GHEA Grapalat"/>
                <w:color w:val="000000" w:themeColor="text1"/>
              </w:rPr>
              <w:t>3</w:t>
            </w:r>
          </w:p>
        </w:tc>
        <w:tc>
          <w:tcPr>
            <w:tcW w:w="1339"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rPr>
            </w:pPr>
            <w:r>
              <w:rPr>
                <w:rFonts w:ascii="GHEA Grapalat" w:hAnsi="GHEA Grapalat"/>
                <w:color w:val="000000" w:themeColor="text1"/>
                <w:lang w:val="hy-AM"/>
              </w:rPr>
              <w:t>1</w:t>
            </w:r>
            <w:r>
              <w:rPr>
                <w:rFonts w:ascii="GHEA Grapalat" w:hAnsi="GHEA Grapalat"/>
                <w:color w:val="000000" w:themeColor="text1"/>
              </w:rPr>
              <w:t>0</w:t>
            </w:r>
          </w:p>
        </w:tc>
      </w:tr>
      <w:tr>
        <w:trPr>
          <w:trHeight w:val="24"/>
        </w:trPr>
        <w:tc>
          <w:tcPr>
            <w:tcW w:w="895" w:type="dxa"/>
            <w:tcBorders>
              <w:top w:val="single" w:sz="4" w:space="0" w:color="auto"/>
              <w:left w:val="single" w:sz="4" w:space="0" w:color="auto"/>
              <w:bottom w:val="single" w:sz="4" w:space="0" w:color="auto"/>
              <w:right w:val="single" w:sz="4" w:space="0" w:color="auto"/>
            </w:tcBorders>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12</w:t>
            </w:r>
          </w:p>
        </w:tc>
        <w:tc>
          <w:tcPr>
            <w:tcW w:w="3070" w:type="dxa"/>
            <w:tcBorders>
              <w:top w:val="single" w:sz="4" w:space="0" w:color="auto"/>
              <w:left w:val="single" w:sz="4" w:space="0" w:color="auto"/>
              <w:bottom w:val="single" w:sz="4" w:space="0" w:color="auto"/>
              <w:right w:val="single" w:sz="4" w:space="0" w:color="auto"/>
            </w:tcBorders>
          </w:tcPr>
          <w:p>
            <w:pPr>
              <w:ind w:right="205" w:firstLine="261"/>
              <w:jc w:val="center"/>
              <w:rPr>
                <w:rFonts w:ascii="GHEA Grapalat" w:hAnsi="GHEA Grapalat" w:cs="Sylfaen"/>
                <w:color w:val="000000" w:themeColor="text1"/>
                <w:lang w:val="hy-AM"/>
              </w:rPr>
            </w:pPr>
            <w:r>
              <w:rPr>
                <w:rFonts w:ascii="GHEA Grapalat" w:hAnsi="GHEA Grapalat" w:cs="Sylfaen"/>
                <w:lang w:val="de-DE"/>
              </w:rPr>
              <w:t>Թրաֆիքինգի և շահագործման, սեռական բռնության ենթարկված անձանց սոցիալ- հոգեբանական վերականգնողական ծառայություններ</w:t>
            </w:r>
          </w:p>
        </w:tc>
        <w:tc>
          <w:tcPr>
            <w:tcW w:w="1790"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Միջին</w:t>
            </w:r>
          </w:p>
        </w:tc>
        <w:tc>
          <w:tcPr>
            <w:tcW w:w="2612" w:type="dxa"/>
            <w:tcBorders>
              <w:top w:val="single" w:sz="4" w:space="0" w:color="auto"/>
              <w:left w:val="single" w:sz="4" w:space="0" w:color="auto"/>
              <w:bottom w:val="single" w:sz="4" w:space="0" w:color="auto"/>
              <w:right w:val="single" w:sz="4" w:space="0" w:color="auto"/>
            </w:tcBorders>
          </w:tcPr>
          <w:p>
            <w:pPr>
              <w:ind w:right="205"/>
              <w:jc w:val="center"/>
              <w:rPr>
                <w:rFonts w:ascii="GHEA Grapalat" w:hAnsi="GHEA Grapalat" w:cs="Sylfaen"/>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15</w:t>
            </w:r>
          </w:p>
        </w:tc>
      </w:tr>
      <w:tr>
        <w:trPr>
          <w:trHeight w:val="24"/>
        </w:trPr>
        <w:tc>
          <w:tcPr>
            <w:tcW w:w="895" w:type="dxa"/>
            <w:tcBorders>
              <w:top w:val="single" w:sz="4" w:space="0" w:color="auto"/>
              <w:left w:val="single" w:sz="4" w:space="0" w:color="auto"/>
              <w:bottom w:val="single" w:sz="4" w:space="0" w:color="auto"/>
              <w:right w:val="single" w:sz="4" w:space="0" w:color="auto"/>
            </w:tcBorders>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13</w:t>
            </w:r>
          </w:p>
        </w:tc>
        <w:tc>
          <w:tcPr>
            <w:tcW w:w="3070" w:type="dxa"/>
            <w:tcBorders>
              <w:top w:val="single" w:sz="4" w:space="0" w:color="auto"/>
              <w:left w:val="single" w:sz="4" w:space="0" w:color="auto"/>
              <w:bottom w:val="single" w:sz="4" w:space="0" w:color="auto"/>
              <w:right w:val="single" w:sz="4" w:space="0" w:color="auto"/>
            </w:tcBorders>
          </w:tcPr>
          <w:p>
            <w:pPr>
              <w:ind w:right="205" w:firstLine="261"/>
              <w:jc w:val="center"/>
              <w:rPr>
                <w:rFonts w:ascii="GHEA Grapalat" w:hAnsi="GHEA Grapalat" w:cs="Sylfaen"/>
                <w:lang w:val="de-DE"/>
              </w:rPr>
            </w:pPr>
            <w:r>
              <w:rPr>
                <w:rFonts w:ascii="GHEA Grapalat" w:hAnsi="GHEA Grapalat"/>
                <w:lang w:val="hy-AM" w:eastAsia="ru-RU"/>
              </w:rPr>
              <w:t>Տնտեսական հարցերի բաժին</w:t>
            </w:r>
          </w:p>
        </w:tc>
        <w:tc>
          <w:tcPr>
            <w:tcW w:w="1790"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Ցածր</w:t>
            </w:r>
          </w:p>
        </w:tc>
        <w:tc>
          <w:tcPr>
            <w:tcW w:w="2612" w:type="dxa"/>
            <w:tcBorders>
              <w:top w:val="single" w:sz="4" w:space="0" w:color="auto"/>
              <w:left w:val="single" w:sz="4" w:space="0" w:color="auto"/>
              <w:bottom w:val="single" w:sz="4" w:space="0" w:color="auto"/>
              <w:right w:val="single" w:sz="4" w:space="0" w:color="auto"/>
            </w:tcBorders>
          </w:tcPr>
          <w:p>
            <w:pPr>
              <w:ind w:right="205"/>
              <w:jc w:val="center"/>
              <w:rPr>
                <w:rFonts w:ascii="GHEA Grapalat" w:hAnsi="GHEA Grapalat" w:cs="Sylfaen"/>
                <w:color w:val="000000" w:themeColor="text1"/>
                <w:lang w:val="hy-AM"/>
              </w:rPr>
            </w:pPr>
            <w:r>
              <w:rPr>
                <w:rFonts w:ascii="GHEA Grapalat" w:hAnsi="GHEA Grapalat" w:cs="Sylfaen"/>
                <w:color w:val="000000" w:themeColor="text1"/>
                <w:lang w:val="hy-AM"/>
              </w:rPr>
              <w:t>Համապատասխանության և կատարողականի աուդիտ</w:t>
            </w:r>
          </w:p>
        </w:tc>
        <w:tc>
          <w:tcPr>
            <w:tcW w:w="1478"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3</w:t>
            </w:r>
          </w:p>
        </w:tc>
        <w:tc>
          <w:tcPr>
            <w:tcW w:w="1339"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10</w:t>
            </w:r>
          </w:p>
        </w:tc>
      </w:tr>
    </w:tbl>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rPr>
          <w:rFonts w:ascii="GHEA Grapalat" w:hAnsi="GHEA Grapalat"/>
          <w:lang w:val="hy-AM"/>
        </w:rPr>
      </w:pPr>
    </w:p>
    <w:p>
      <w:pPr>
        <w:jc w:val="center"/>
        <w:rPr>
          <w:rFonts w:ascii="GHEA Grapalat" w:hAnsi="GHEA Grapalat" w:cs="Sylfaen"/>
          <w:b/>
          <w:noProof/>
          <w:lang w:val="hy-AM"/>
        </w:rPr>
      </w:pPr>
      <w:r>
        <w:rPr>
          <w:rFonts w:ascii="GHEA Grapalat" w:hAnsi="GHEA Grapalat" w:cs="Sylfaen"/>
          <w:b/>
          <w:noProof/>
          <w:lang w:val="hy-AM"/>
        </w:rPr>
        <w:t>ЗАПРОС НА ПОКУПКУ</w:t>
      </w:r>
    </w:p>
    <w:p>
      <w:pPr>
        <w:jc w:val="center"/>
        <w:rPr>
          <w:rFonts w:ascii="GHEA Grapalat" w:hAnsi="GHEA Grapalat" w:cs="Sylfaen"/>
          <w:b/>
          <w:noProof/>
          <w:lang w:val="hy-AM"/>
        </w:rPr>
      </w:pPr>
      <w:r>
        <w:rPr>
          <w:rFonts w:ascii="GHEA Grapalat" w:hAnsi="GHEA Grapalat" w:cs="Sylfaen"/>
          <w:b/>
          <w:noProof/>
          <w:lang w:val="hy-AM"/>
        </w:rPr>
        <w:t xml:space="preserve">СОЗДАНИЕ СЛУЖБЫ ВНУТРЕННЕГО АУДИТА ДЛЯ НУЖД МИНИСТЕРСТВА ТРУДА И СОЦИАЛЬНЫХ ВОПРОСОВ РЕСПУБЛИКИ АРМЕНИЯ В 202 </w:t>
      </w:r>
      <w:r>
        <w:rPr>
          <w:rFonts w:ascii="GHEA Grapalat" w:hAnsi="GHEA Grapalat" w:cs="Sylfaen"/>
          <w:b/>
          <w:noProof/>
          <w:lang w:val="ru-RU"/>
        </w:rPr>
        <w:t>ГОДУ</w:t>
      </w:r>
    </w:p>
    <w:p>
      <w:pPr>
        <w:jc w:val="both"/>
        <w:rPr>
          <w:rFonts w:ascii="GHEA Grapalat" w:hAnsi="GHEA Grapalat" w:cs="Arial"/>
          <w:b/>
          <w:noProof/>
          <w:lang w:val="hy-AM"/>
        </w:rPr>
      </w:pPr>
    </w:p>
    <w:p>
      <w:pPr>
        <w:ind w:firstLine="558"/>
        <w:jc w:val="both"/>
        <w:rPr>
          <w:rFonts w:ascii="GHEA Grapalat" w:hAnsi="GHEA Grapalat" w:cs="Arial"/>
          <w:b/>
          <w:noProof/>
          <w:lang w:val="hy-AM"/>
        </w:rPr>
      </w:pPr>
      <w:r>
        <w:rPr>
          <w:rFonts w:ascii="GHEA Grapalat" w:hAnsi="GHEA Grapalat" w:cs="Arial"/>
          <w:b/>
          <w:noProof/>
          <w:lang w:val="hy-AM"/>
        </w:rPr>
        <w:t xml:space="preserve">1 </w:t>
      </w:r>
      <w:r>
        <w:rPr>
          <w:rFonts w:ascii="Cambria Math" w:eastAsia="MS Mincho" w:hAnsi="Cambria Math" w:cs="Cambria Math"/>
          <w:b/>
          <w:noProof/>
          <w:lang w:val="hy-AM"/>
        </w:rPr>
        <w:t xml:space="preserve">․ </w:t>
      </w:r>
      <w:r>
        <w:rPr>
          <w:rFonts w:ascii="GHEA Grapalat" w:hAnsi="GHEA Grapalat" w:cs="Arial"/>
          <w:b/>
          <w:noProof/>
          <w:lang w:val="hy-AM"/>
        </w:rPr>
        <w:t>ОБЪЕМ ВНУТРЕННЕГО АУДИТА И ОБЩИЕ ТРЕБОВАНИЯ К ПРЕДОСТАВЛЯЕМЫМ УСЛУГАМ</w:t>
      </w:r>
    </w:p>
    <w:p>
      <w:pPr>
        <w:spacing w:line="360" w:lineRule="auto"/>
        <w:ind w:firstLine="558"/>
        <w:jc w:val="both"/>
        <w:rPr>
          <w:rFonts w:ascii="GHEA Grapalat" w:hAnsi="GHEA Grapalat" w:cs="Arial"/>
          <w:noProof/>
          <w:lang w:val="hy-AM"/>
        </w:rPr>
      </w:pPr>
      <w:r>
        <w:rPr>
          <w:rFonts w:ascii="GHEA Grapalat" w:hAnsi="GHEA Grapalat" w:cs="Arial"/>
          <w:noProof/>
          <w:lang w:val="hy-AM"/>
        </w:rPr>
        <w:t>Внутренний аудит является независимой, объективной функцией по проведению проверок и консультированию, направленной на совершенствование деятельности Министерства труда и социальной защиты, его структурных подразделений, а также государственных некоммерческих организаций, закрепленных за Министерством (далее – организации), и охватывает все функции, связанные с деятельностью организации и результатами деятельности организации. , то есть вся система внутреннего контроля организации, включая все операции, ресурсы, услуги, процессы, программы и вопросы, вытекающие из других правоотношений, для предоставления при этом приглашенное лицо (далее – Исполнитель) обязано:</w:t>
      </w:r>
    </w:p>
    <w:p>
      <w:pPr>
        <w:pStyle w:val="ListParagraph"/>
        <w:numPr>
          <w:ilvl w:val="0"/>
          <w:numId w:val="6"/>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описать основные направления внедрения внутреннего аудита, специфику участия проверяемых подразделений, а также поддержку,</w:t>
      </w:r>
    </w:p>
    <w:p>
      <w:pPr>
        <w:pStyle w:val="ListParagraph"/>
        <w:numPr>
          <w:ilvl w:val="0"/>
          <w:numId w:val="6"/>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предоставить руководству организации надлежащую оценку адекватности, надежности и эффективности системы внутреннего контроля организации,</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оценить системы финансового управления и контроля - совокупность правил (политик), процедур и действий, установленных руководством организации,</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Поддерживать организацию в эффективном достижении ее целей посредством систематической и систематической оценки и совершенствования процессов управления организацией, системы внутреннего контроля и процессов управления рисками (выявление, оценка и контроль рисков),</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lastRenderedPageBreak/>
        <w:t>заверить руководителя организации (далее - Руководитель) и комитет по внутреннему аудиту в том, что руководители подразделений организации надлежащим образом выполняют свои обязанности (внедрение и поддержание систем внутреннего контроля, управления рисками и процессами управления),</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содействовать организации в обеспечении подотчетности перед всем обществом путем оценки соответствия последнего требованиям законов и иных правовых актов, а также полезности и эффективности выполняемых функций,</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предоставлять объективное заключение надзорным органам о надежности и обоснованности финансовой деятельности и других отчетов о результатах деятельности, представляемых Управляющим,</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Помогать менеджеру в достижении его/ее целей путем улучшения систем и услуг организации,</w:t>
      </w:r>
    </w:p>
    <w:p>
      <w:pPr>
        <w:pStyle w:val="ListParagraph"/>
        <w:numPr>
          <w:ilvl w:val="0"/>
          <w:numId w:val="5"/>
        </w:numPr>
        <w:spacing w:line="360" w:lineRule="auto"/>
        <w:ind w:left="576" w:hanging="576"/>
        <w:contextualSpacing/>
        <w:rPr>
          <w:rFonts w:ascii="GHEA Grapalat" w:hAnsi="GHEA Grapalat" w:cs="Arial"/>
          <w:noProof/>
          <w:lang w:val="hy-AM"/>
        </w:rPr>
      </w:pPr>
      <w:r>
        <w:rPr>
          <w:rFonts w:ascii="GHEA Grapalat" w:hAnsi="GHEA Grapalat" w:cs="Arial"/>
          <w:noProof/>
          <w:lang w:val="hy-AM"/>
        </w:rPr>
        <w:t>снизить вероятность мошенничества, растрат и других злоупотреблений за счет своего присутствия,</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обеспечить соответствие поведения аудиторов установленным правилам поведения,</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обеспечить постоянное присутствие в организации (за исключением сельских населенных пунктов) не менее одного ее работника, ответственного за выполнение всех требований, предусмотренных законодательством о внутреннем аудите,</w:t>
      </w:r>
    </w:p>
    <w:p>
      <w:pPr>
        <w:pStyle w:val="ListParagraph"/>
        <w:numPr>
          <w:ilvl w:val="0"/>
          <w:numId w:val="5"/>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обеспечить реализацию прав и обязанностей, установленных Законом «О внутреннем аудите» для аудиторского подразделения, в том числе для руководителя подразделения,</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исполнять обязанности секретаря ревизионной комиссии,</w:t>
      </w:r>
    </w:p>
    <w:p>
      <w:pPr>
        <w:pStyle w:val="ListParagraph"/>
        <w:numPr>
          <w:ilvl w:val="0"/>
          <w:numId w:val="5"/>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быть подотчетным менеджеру и комитету по внутреннему аудиту,</w:t>
      </w:r>
    </w:p>
    <w:p>
      <w:pPr>
        <w:pStyle w:val="ListParagraph"/>
        <w:numPr>
          <w:ilvl w:val="0"/>
          <w:numId w:val="5"/>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lastRenderedPageBreak/>
        <w:t>не будет выполнять никаких функций управления организацией, кроме функций управления деятельностью внутреннего аудита.</w:t>
      </w:r>
    </w:p>
    <w:p>
      <w:pPr>
        <w:spacing w:line="360" w:lineRule="auto"/>
        <w:ind w:firstLine="567"/>
        <w:jc w:val="both"/>
        <w:rPr>
          <w:rFonts w:ascii="GHEA Grapalat" w:hAnsi="GHEA Grapalat" w:cs="Arial"/>
          <w:noProof/>
          <w:lang w:val="hy-AM"/>
        </w:rPr>
      </w:pPr>
      <w:r>
        <w:rPr>
          <w:rFonts w:ascii="GHEA Grapalat" w:hAnsi="GHEA Grapalat" w:cs="Arial"/>
          <w:noProof/>
          <w:lang w:val="hy-AM"/>
        </w:rPr>
        <w:t>Результаты предыдущей аудиторской работы должны быть признаны и учтены в будущей работе.</w:t>
      </w:r>
    </w:p>
    <w:p>
      <w:pPr>
        <w:spacing w:line="360" w:lineRule="auto"/>
        <w:ind w:firstLine="558"/>
        <w:jc w:val="both"/>
        <w:rPr>
          <w:rFonts w:ascii="GHEA Grapalat" w:hAnsi="GHEA Grapalat" w:cs="Arial"/>
          <w:b/>
          <w:noProof/>
          <w:lang w:val="hy-AM"/>
        </w:rPr>
      </w:pPr>
      <w:r>
        <w:rPr>
          <w:rFonts w:ascii="GHEA Grapalat" w:hAnsi="GHEA Grapalat" w:cs="Arial"/>
          <w:b/>
          <w:noProof/>
          <w:lang w:val="hy-AM"/>
        </w:rPr>
        <w:t>2. ОКРУЖАЮЩАЯ СРЕДА, ПОДЛЕЖАЩАЯ ВНУТРЕННЕМУ АУДИТУ</w:t>
      </w:r>
    </w:p>
    <w:p>
      <w:pPr>
        <w:spacing w:line="360" w:lineRule="auto"/>
        <w:ind w:firstLine="558"/>
        <w:jc w:val="both"/>
        <w:rPr>
          <w:rFonts w:ascii="GHEA Grapalat" w:eastAsia="MS Mincho" w:hAnsi="GHEA Grapalat" w:cs="Sylfaen"/>
          <w:noProof/>
          <w:lang w:val="hy-AM"/>
        </w:rPr>
      </w:pPr>
      <w:r>
        <w:rPr>
          <w:rFonts w:ascii="GHEA Grapalat" w:eastAsia="MS Mincho" w:hAnsi="GHEA Grapalat" w:cs="Sylfaen"/>
          <w:noProof/>
          <w:lang w:val="hy-AM"/>
        </w:rPr>
        <w:t>Специалист должен оценить среду внутреннего аудита организации, которая включает в себя всю систему организации, охватывающую все возможные функции, задачи и проверяемые процессы организационного аудита. На этапе организации своей работы исполнитель должен в первую очередь четко определить структуру организации и функции структурных элементов и их описания: (Функция или процесс — это совокупность последовательных и взаимосвязанных действий, направленных на достижение цели организации, условия их реализации и необходимые ресурсы).</w:t>
      </w:r>
    </w:p>
    <w:p>
      <w:pPr>
        <w:spacing w:line="360" w:lineRule="auto"/>
        <w:ind w:firstLine="558"/>
        <w:jc w:val="both"/>
        <w:rPr>
          <w:rFonts w:ascii="GHEA Grapalat" w:hAnsi="GHEA Grapalat" w:cs="Sylfaen"/>
          <w:noProof/>
          <w:lang w:val="hy-AM"/>
        </w:rPr>
      </w:pPr>
      <w:r>
        <w:rPr>
          <w:rFonts w:ascii="GHEA Grapalat" w:hAnsi="GHEA Grapalat" w:cs="Sylfaen"/>
          <w:noProof/>
          <w:lang w:val="hy-AM"/>
        </w:rPr>
        <w:t>Аудит</w:t>
      </w:r>
      <w:r>
        <w:rPr>
          <w:rFonts w:ascii="GHEA Grapalat" w:hAnsi="GHEA Grapalat" w:cs="Courier New"/>
          <w:noProof/>
          <w:lang w:val="hy-AM"/>
        </w:rPr>
        <w:t xml:space="preserve"> </w:t>
      </w:r>
      <w:r>
        <w:rPr>
          <w:rFonts w:ascii="GHEA Grapalat" w:hAnsi="GHEA Grapalat" w:cs="Sylfaen"/>
          <w:noProof/>
          <w:lang w:val="hy-AM"/>
        </w:rPr>
        <w:t xml:space="preserve">Элементы среды, называемые подразделениями </w:t>
      </w:r>
      <w:r>
        <w:rPr>
          <w:rFonts w:ascii="GHEA Grapalat" w:eastAsia="MS Mincho" w:hAnsi="GHEA Grapalat" w:cs="Sylfaen"/>
          <w:noProof/>
          <w:lang w:val="hy-AM"/>
        </w:rPr>
        <w:t xml:space="preserve">(далее — Подразделения) </w:t>
      </w:r>
      <w:r>
        <w:rPr>
          <w:rFonts w:ascii="GHEA Grapalat" w:hAnsi="GHEA Grapalat" w:cs="Sylfaen"/>
          <w:noProof/>
          <w:lang w:val="hy-AM"/>
        </w:rPr>
        <w:t>, включают в себя:</w:t>
      </w:r>
    </w:p>
    <w:p>
      <w:pPr>
        <w:spacing w:line="360" w:lineRule="auto"/>
        <w:ind w:firstLine="558"/>
        <w:jc w:val="both"/>
        <w:rPr>
          <w:rFonts w:ascii="GHEA Grapalat" w:hAnsi="GHEA Grapalat" w:cs="Sylfaen"/>
          <w:noProof/>
          <w:lang w:val="hy-AM"/>
        </w:rPr>
      </w:pPr>
      <w:r>
        <w:rPr>
          <w:rFonts w:ascii="GHEA Grapalat" w:hAnsi="GHEA Grapalat" w:cs="Sylfaen"/>
          <w:noProof/>
          <w:lang w:val="hy-AM"/>
        </w:rPr>
        <w:t>1) ветви,</w:t>
      </w:r>
    </w:p>
    <w:p>
      <w:pPr>
        <w:spacing w:line="360" w:lineRule="auto"/>
        <w:ind w:firstLine="562"/>
        <w:jc w:val="both"/>
        <w:rPr>
          <w:rFonts w:ascii="GHEA Grapalat" w:hAnsi="GHEA Grapalat" w:cs="Sylfaen"/>
          <w:noProof/>
          <w:lang w:val="hy-AM"/>
        </w:rPr>
      </w:pPr>
      <w:r>
        <w:rPr>
          <w:rFonts w:ascii="GHEA Grapalat" w:hAnsi="GHEA Grapalat" w:cs="Sylfaen"/>
          <w:noProof/>
          <w:lang w:val="hy-AM"/>
        </w:rPr>
        <w:t>2) системные организации: государственные некоммерческие организации (ГНКО),</w:t>
      </w:r>
    </w:p>
    <w:p>
      <w:pPr>
        <w:spacing w:line="360" w:lineRule="auto"/>
        <w:ind w:firstLine="562"/>
        <w:jc w:val="both"/>
        <w:rPr>
          <w:rFonts w:ascii="GHEA Grapalat" w:hAnsi="GHEA Grapalat" w:cs="Sylfaen"/>
          <w:noProof/>
          <w:lang w:val="hy-AM"/>
        </w:rPr>
      </w:pPr>
      <w:r>
        <w:rPr>
          <w:rFonts w:ascii="GHEA Grapalat" w:hAnsi="GHEA Grapalat" w:cs="Sylfaen"/>
          <w:noProof/>
          <w:lang w:val="hy-AM"/>
        </w:rPr>
        <w:t>3) основные и вспомогательные подразделения (отделы, секции),</w:t>
      </w:r>
    </w:p>
    <w:p>
      <w:pPr>
        <w:spacing w:line="360" w:lineRule="auto"/>
        <w:ind w:firstLine="562"/>
        <w:jc w:val="both"/>
        <w:rPr>
          <w:rFonts w:ascii="GHEA Grapalat" w:hAnsi="GHEA Grapalat" w:cs="Sylfaen"/>
          <w:noProof/>
          <w:lang w:val="hy-AM"/>
        </w:rPr>
      </w:pPr>
      <w:r>
        <w:rPr>
          <w:rFonts w:ascii="GHEA Grapalat" w:hAnsi="GHEA Grapalat" w:cs="Sylfaen"/>
          <w:noProof/>
          <w:lang w:val="hy-AM"/>
        </w:rPr>
        <w:t>4) другие отделы, процессы, программы.</w:t>
      </w:r>
    </w:p>
    <w:p>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3 </w:t>
      </w:r>
      <w:r>
        <w:rPr>
          <w:rFonts w:ascii="Cambria Math" w:eastAsia="MS Mincho" w:hAnsi="Cambria Math" w:cs="Cambria Math"/>
          <w:b/>
          <w:noProof/>
          <w:lang w:val="hy-AM"/>
        </w:rPr>
        <w:t xml:space="preserve">․ </w:t>
      </w:r>
      <w:r>
        <w:rPr>
          <w:rFonts w:ascii="GHEA Grapalat" w:hAnsi="GHEA Grapalat" w:cs="Arial"/>
          <w:b/>
          <w:noProof/>
          <w:lang w:val="hy-AM"/>
        </w:rPr>
        <w:t>ОПИСАНИЕ ПРЕДОСТАВЛЯЕМОЙ УСЛУГИ</w:t>
      </w:r>
    </w:p>
    <w:p>
      <w:pPr>
        <w:pStyle w:val="ListParagraph"/>
        <w:numPr>
          <w:ilvl w:val="0"/>
          <w:numId w:val="4"/>
        </w:numPr>
        <w:tabs>
          <w:tab w:val="left" w:pos="851"/>
        </w:tabs>
        <w:spacing w:line="360" w:lineRule="auto"/>
        <w:ind w:left="0" w:firstLine="558"/>
        <w:contextualSpacing/>
        <w:jc w:val="both"/>
        <w:rPr>
          <w:rFonts w:ascii="GHEA Grapalat" w:hAnsi="GHEA Grapalat" w:cs="Arial"/>
          <w:noProof/>
          <w:lang w:val="hy-AM"/>
        </w:rPr>
      </w:pPr>
      <w:r>
        <w:rPr>
          <w:rFonts w:ascii="GHEA Grapalat" w:hAnsi="GHEA Grapalat" w:cs="Arial"/>
          <w:noProof/>
          <w:lang w:val="hy-AM"/>
        </w:rPr>
        <w:t>Исполнитель обязуется с даты вступления Договора в силу обеспечить выполнение мероприятий, предусмотренных законодательством о внутреннем аудите, в сроки, обеспечивающие оказание услуг внутреннего аудита, предусмотренных настоящим техническим заданием, а также законодательства о внутреннем аудите к концу срока действия договора.</w:t>
      </w:r>
    </w:p>
    <w:p>
      <w:pPr>
        <w:pStyle w:val="ListParagraph"/>
        <w:numPr>
          <w:ilvl w:val="0"/>
          <w:numId w:val="4"/>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lastRenderedPageBreak/>
        <w:t xml:space="preserve">В целях исполнения обязанности, предусмотренной пунктом 1 </w:t>
      </w:r>
      <w:r>
        <w:rPr>
          <w:rFonts w:ascii="GHEA Grapalat" w:hAnsi="GHEA Grapalat" w:cs="Arial"/>
          <w:noProof/>
          <w:lang w:val="hy-AM"/>
        </w:rPr>
        <w:t>настоящего раздела, Исполнитель обязан:</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А) подготовить и представить руководителю на утверждение положения о внутреннем аудите и изменения к ним, которые должны определять положения, подлежащие обязательному исполнению для всей организации, и должны отражать все этапы проведения аудита и вопросы, способствующие организации внутреннего аудита; аудиторской работы, а также тех функций, выполняемых подразделениями, которые подлежат внутреннему аудиту.</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Б) в порядке, установленном законодательством Республики Армения о внутреннем аудите, а также на основании вопросов, указанных руководителем, составлять трехлетние стратегические и годовые программы внутреннего аудита с учетом оценки необходимости проведения аудита организации (оценки рисков, а также выводы внутренних аудитов, проведенных в организации в предыдущие периоды, выявленные проблемы, представленные рекомендации, предпринятые по ним действия и отчеты об их выполнении), четко указывающие количество подразделений, подлежащих внутреннему аудиту, области, подлежащие аудиту, сроки (частота) проведения аудита, инструменты аудита, выбранные для эффективного достижения целей аудита на основе имеющихся ресурсов, что станет отправной точкой для подачи ценового предложения на процедуру закупки быть организовано с целью приобретения внутреннего аудита на последующие годы, включенные в стратегический план.</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В) </w:t>
      </w:r>
      <w:r>
        <w:rPr>
          <w:rFonts w:ascii="GHEA Grapalat" w:hAnsi="GHEA Grapalat" w:cs="Sylfaen"/>
          <w:noProof/>
          <w:lang w:val="hy-AM"/>
        </w:rPr>
        <w:tab/>
        <w:t>проводить эффективный внутренний аудит, оценивая эффективность систем финансового управления и контроля и их соответствие следующим условиям:</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 xml:space="preserve">идентификация, оценка и управление рисками руководством организации, в частности: надежность оценки рисков, проводимой менеджером, мониторинг рисков, проводимый менеджером, и представление результатов, а также разрешение проблем, </w:t>
      </w:r>
      <w:r>
        <w:rPr>
          <w:rFonts w:ascii="GHEA Grapalat" w:hAnsi="GHEA Grapalat" w:cs="Sylfaen"/>
          <w:noProof/>
          <w:lang w:val="hy-AM"/>
        </w:rPr>
        <w:lastRenderedPageBreak/>
        <w:t>связанных с к системе рисков и контроля, отчеты, представляемые Менеджером о случаях превышения рисков над приемлемыми, и реагирование руководителей подразделений организации на эти отчеты,</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Соблюдение законодательства Республики Армения и иных условий, связанных с деятельностью организации (договоров, ведомственных нормативных актов и т.д.),</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экономичные, эффективные и полезные функции,</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достоверность и полнота информации,</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надежность защиты активов и ресурсов от потерь, нецелевого использования и ущерба,</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выполнение задач и достижение целей.</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г) предоставить.</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Гарантия того, что процессы управления и контроля рисков, используемые в организации, являются/не являются/частично являются адекватными для целей выявления и мониторинга существенных рисков.</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подтверждение того, что внедренные системы внутреннего контроля работают/не работают эффективно;</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обеспечение того, что процессы подотчетности по управлению рисками надежны/ненадежны;</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подтверждение того, что Руководитель получает/не получает/частично получает информацию надлежащего качества и достоверности от других должностных лиц организации;</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рекомендации, направленные на совершенствование систем контроля и процедур управления рисками, а также исправление недостатков, выявленных в системах контроля,</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заключение по надзору за субъектными единицами,</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lastRenderedPageBreak/>
        <w:t>заключение по контролю за структурными и обособленными подразделениями организации и системой в целом,</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заключение о системах контроля подрядчиков или поставщиков услуг, если такие средства контроля необходимы для достижения целей организации;</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Д) </w:t>
      </w:r>
      <w:r>
        <w:rPr>
          <w:rFonts w:ascii="GHEA Grapalat" w:hAnsi="GHEA Grapalat" w:cs="Sylfaen"/>
          <w:noProof/>
          <w:lang w:val="hy-AM"/>
        </w:rPr>
        <w:tab/>
        <w:t>подготавливает и представляет руководителю и ревизионной комиссии отчеты, предусмотренные законодательством о внутреннем аудите;</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Периодические отчеты о результатах выполненных аудиторских заданий, в которых будет указано, какая работа была выполнена и почему она была выполнена, все выводы и заключения, выявленные в рамках внутреннего аудита, конструктивные предложения, призванные помочь руководителю в улучшении деятельности организации;</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годовой отчет о результатах деятельности внутреннего аудита;</w:t>
      </w:r>
    </w:p>
    <w:p>
      <w:pPr>
        <w:pStyle w:val="ListParagraph"/>
        <w:numPr>
          <w:ilvl w:val="0"/>
          <w:numId w:val="1"/>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планы мероприятий и результаты их реализации;</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F) </w:t>
      </w:r>
      <w:r>
        <w:rPr>
          <w:rFonts w:ascii="GHEA Grapalat" w:hAnsi="GHEA Grapalat" w:cs="Sylfaen"/>
          <w:noProof/>
          <w:lang w:val="hy-AM"/>
        </w:rPr>
        <w:tab/>
        <w:t>провести процесс проверки для оценки адекватности, эффективности и своевременности действий, предпринятых руководством проверяемого подразделения для исправления недостатков, выявленных в результате проверки, и определить, предпринял ли руководитель проверяемого подразделения корректирующие действия или внедрил представленные рекомендации и были ли достигнуты желаемые результаты. результаты, взяли ли на себя руководитель и комитет по внутреннему аудиту риски невыполнения мер, вытекающих из результатов задания. Аудиторская деятельность должна быть надлежащим образом документирована.</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lastRenderedPageBreak/>
        <w:t>Исполнитель должен уделять особое внимание рекомендациям, по которым руководство приняло на себя остаточный риск, и надлежащим образом документировать такие случаи.</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Д) </w:t>
      </w:r>
      <w:r>
        <w:rPr>
          <w:rFonts w:ascii="GHEA Grapalat" w:hAnsi="GHEA Grapalat" w:cs="Sylfaen"/>
          <w:noProof/>
          <w:lang w:val="hy-AM"/>
        </w:rPr>
        <w:tab/>
        <w:t>организовать надлежащее оформление и хранение рабочей документации;</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H) </w:t>
      </w:r>
      <w:r>
        <w:rPr>
          <w:rFonts w:ascii="GHEA Grapalat" w:hAnsi="GHEA Grapalat" w:cs="Sylfaen"/>
          <w:noProof/>
          <w:lang w:val="hy-AM"/>
        </w:rPr>
        <w:tab/>
        <w:t>Разработать и внедрить программу обеспечения и повышения качества внутреннего аудита, которая предоставит руководителю, комитету по внутреннему аудиту и другим заинтересованным сторонам разумную уверенность в том, что внутренний аудит работает эффективно и результативно в соответствии со своими правилами, которые, в свою очередь, соответствуют В соответствии с Законом «Об аудиторской деятельности», стандартами и кодексами поведения внутренний аудит рассматривается как деятельность, направленная на улучшение деятельности организации.</w:t>
      </w:r>
    </w:p>
    <w:p>
      <w:pPr>
        <w:pStyle w:val="ListParagraph"/>
        <w:numPr>
          <w:ilvl w:val="0"/>
          <w:numId w:val="4"/>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сотрудничество внутреннего аудита с другими внутренними и внешними поставщиками гарантий;</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А) </w:t>
      </w:r>
      <w:r>
        <w:rPr>
          <w:rFonts w:ascii="GHEA Grapalat" w:hAnsi="GHEA Grapalat" w:cs="Sylfaen"/>
          <w:noProof/>
          <w:lang w:val="hy-AM"/>
        </w:rPr>
        <w:tab/>
      </w:r>
      <w:r>
        <w:rPr>
          <w:rFonts w:ascii="GHEA Grapalat" w:hAnsi="GHEA Grapalat" w:cs="Arial"/>
          <w:noProof/>
          <w:lang w:val="hy-AM"/>
        </w:rPr>
        <w:t xml:space="preserve">Исполнитель </w:t>
      </w:r>
      <w:r>
        <w:rPr>
          <w:rFonts w:ascii="GHEA Grapalat" w:hAnsi="GHEA Grapalat" w:cs="Sylfaen"/>
          <w:noProof/>
          <w:lang w:val="hy-AM"/>
        </w:rPr>
        <w:t>должен сотрудничать с внутренними поставщиками гарантий для получения необходимой информации и исключения повторения действий.</w:t>
      </w:r>
    </w:p>
    <w:p>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Б) </w:t>
      </w:r>
      <w:r>
        <w:rPr>
          <w:rFonts w:ascii="GHEA Grapalat" w:hAnsi="GHEA Grapalat" w:cs="Sylfaen"/>
          <w:noProof/>
          <w:lang w:val="hy-AM"/>
        </w:rPr>
        <w:tab/>
        <w:t xml:space="preserve">По поручению </w:t>
      </w:r>
      <w:r>
        <w:rPr>
          <w:rFonts w:ascii="GHEA Grapalat" w:hAnsi="GHEA Grapalat" w:cs="Arial"/>
          <w:noProof/>
          <w:lang w:val="hy-AM"/>
        </w:rPr>
        <w:t xml:space="preserve">руководителя Исполнитель </w:t>
      </w:r>
      <w:r>
        <w:rPr>
          <w:rFonts w:ascii="GHEA Grapalat" w:hAnsi="GHEA Grapalat" w:cs="Sylfaen"/>
          <w:noProof/>
          <w:lang w:val="hy-AM"/>
        </w:rPr>
        <w:t>сотрудничает с органами государственного управления, осуществляющими контроль (надзор) за организациями государственного сектора Республики Армения в порядке, установленном законом, и с Аудиторской палатой Республики. Армении, с целью оказания им поддержки и предоставления соответствующей информации.</w:t>
      </w:r>
    </w:p>
    <w:p>
      <w:pPr>
        <w:pStyle w:val="ListParagraph"/>
        <w:numPr>
          <w:ilvl w:val="0"/>
          <w:numId w:val="4"/>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Подрядчик должен провести внутренний аудит посредством предоставления услуг по аудиту или консультированию.</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Задача аудита, возложенная на службы обеспечения качества, выполняется с использованием системного подхода, либо посредством аудита соответствия, либо </w:t>
      </w:r>
      <w:r>
        <w:rPr>
          <w:rFonts w:ascii="GHEA Grapalat" w:hAnsi="GHEA Grapalat" w:cs="Sylfaen"/>
          <w:noProof/>
          <w:lang w:val="hy-AM"/>
        </w:rPr>
        <w:lastRenderedPageBreak/>
        <w:t>аудита эффективности, либо путем сочетания типов аудита соответствия и аудита эффективности.</w:t>
      </w:r>
    </w:p>
    <w:p>
      <w:pPr>
        <w:spacing w:line="360" w:lineRule="auto"/>
        <w:ind w:firstLine="567"/>
        <w:jc w:val="both"/>
        <w:rPr>
          <w:rFonts w:ascii="GHEA Grapalat" w:hAnsi="GHEA Grapalat" w:cs="Sylfaen"/>
          <w:noProof/>
          <w:lang w:val="hy-AM"/>
        </w:rPr>
      </w:pPr>
      <w:r>
        <w:rPr>
          <w:rFonts w:ascii="GHEA Grapalat" w:hAnsi="GHEA Grapalat" w:cs="Sylfaen"/>
          <w:noProof/>
          <w:lang w:val="hy-AM"/>
        </w:rPr>
        <w:t>Аудит соответствия или правовой аудит призван определить соответствие деятельности организации законам, иным правовым актам, а также иным условиям, связанным с деятельностью организации (договорам, ведомственным нормативным актам и т.п.). В данном случае акцент делается не на не только на оценке эффективности различных процессов внутреннего контроля, но и на предоставлении руководству гарантий соответствия деятельности организации законам, иным правовым актам и иным условиям.</w:t>
      </w:r>
    </w:p>
    <w:p>
      <w:pPr>
        <w:spacing w:line="360" w:lineRule="auto"/>
        <w:ind w:firstLine="567"/>
        <w:jc w:val="both"/>
        <w:rPr>
          <w:rFonts w:ascii="GHEA Grapalat" w:hAnsi="GHEA Grapalat" w:cs="Sylfaen"/>
          <w:noProof/>
          <w:lang w:val="hy-AM"/>
        </w:rPr>
      </w:pPr>
      <w:r>
        <w:rPr>
          <w:rFonts w:ascii="GHEA Grapalat" w:hAnsi="GHEA Grapalat" w:cs="Sylfaen"/>
          <w:noProof/>
          <w:lang w:val="hy-AM"/>
        </w:rPr>
        <w:t>Аудит производительности предназначен для оценки процессов с точки зрения экономичности, эффективности и результативности. Аудит производительности изучает предоставление услуг с точки зрения этих трех характеристик. Он также может включать сравнение услуг с услугами, предоставляемыми аналогичными организациями с точки зрения качества и стоимости.</w:t>
      </w:r>
    </w:p>
    <w:p>
      <w:pPr>
        <w:spacing w:line="360" w:lineRule="auto"/>
        <w:ind w:firstLine="567"/>
        <w:jc w:val="both"/>
        <w:rPr>
          <w:rFonts w:ascii="GHEA Grapalat" w:hAnsi="GHEA Grapalat" w:cs="Sylfaen"/>
          <w:noProof/>
          <w:lang w:val="hy-AM"/>
        </w:rPr>
      </w:pPr>
      <w:r>
        <w:rPr>
          <w:rFonts w:ascii="GHEA Grapalat" w:hAnsi="GHEA Grapalat" w:cs="Sylfaen"/>
          <w:noProof/>
          <w:lang w:val="hy-AM"/>
        </w:rPr>
        <w:t>Различные комбинации типов аудита соответствия и эффективности включают оценку системы, финансовый аудит, аудит информационных технологий и другие аудиты.</w:t>
      </w:r>
    </w:p>
    <w:p>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4 </w:t>
      </w:r>
      <w:r>
        <w:rPr>
          <w:rFonts w:ascii="Cambria Math" w:eastAsia="MS Mincho" w:hAnsi="Cambria Math" w:cs="Cambria Math"/>
          <w:b/>
          <w:noProof/>
          <w:lang w:val="hy-AM"/>
        </w:rPr>
        <w:t xml:space="preserve">․ </w:t>
      </w:r>
      <w:r>
        <w:rPr>
          <w:rFonts w:ascii="GHEA Grapalat" w:hAnsi="GHEA Grapalat" w:cs="Arial"/>
          <w:b/>
          <w:noProof/>
          <w:lang w:val="hy-AM"/>
        </w:rPr>
        <w:t>ПОЛНАЯ МОЩНОСТЬ</w:t>
      </w:r>
      <w:r>
        <w:rPr>
          <w:rFonts w:ascii="GHEA Grapalat" w:hAnsi="GHEA Grapalat" w:cs="Sylfaen"/>
          <w:b/>
          <w:noProof/>
          <w:lang w:val="hy-AM"/>
        </w:rPr>
        <w:t xml:space="preserve"> </w:t>
      </w:r>
      <w:r>
        <w:rPr>
          <w:rFonts w:ascii="GHEA Grapalat" w:hAnsi="GHEA Grapalat" w:cs="Arial"/>
          <w:b/>
          <w:noProof/>
          <w:lang w:val="hy-AM"/>
        </w:rPr>
        <w:t>ИНФОРМАЦИЯ, ПРЕДОСТАВЛЕННАЯ ОРГАНУ</w:t>
      </w:r>
    </w:p>
    <w:p>
      <w:pPr>
        <w:spacing w:line="360" w:lineRule="auto"/>
        <w:ind w:firstLine="567"/>
        <w:jc w:val="both"/>
        <w:rPr>
          <w:rFonts w:ascii="GHEA Grapalat" w:hAnsi="GHEA Grapalat" w:cs="Sylfaen"/>
          <w:noProof/>
          <w:lang w:val="hy-AM"/>
        </w:rPr>
      </w:pPr>
      <w:r>
        <w:rPr>
          <w:rFonts w:ascii="GHEA Grapalat" w:hAnsi="GHEA Grapalat" w:cs="Sylfaen"/>
          <w:noProof/>
          <w:lang w:val="hy-AM"/>
        </w:rPr>
        <w:t>Исполнитель представляет Министерству финансов Республики Армения как уполномоченному органу, определенному Законом «О внутреннем аудите» (далее — Уполномоченный орган), следующую информацию в порядке, установленном законодательством Республики: Армении по внутреннему аудиту:</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А) В случае внесения изменений </w:t>
      </w:r>
      <w:r>
        <w:rPr>
          <w:rFonts w:ascii="GHEA Grapalat" w:hAnsi="GHEA Grapalat" w:cs="Sylfaen"/>
          <w:noProof/>
          <w:lang w:val="hy-AM"/>
        </w:rPr>
        <w:tab/>
        <w:t xml:space="preserve">в сведения или документы, представленные для включения в перечень, публикуемый уполномоченным органом, определенный в статье 13, части 4, пункте 5 Закона «О внутреннем аудите», в том числе в документы </w:t>
      </w:r>
      <w:r>
        <w:rPr>
          <w:rFonts w:ascii="GHEA Grapalat" w:hAnsi="GHEA Grapalat" w:cs="Sylfaen"/>
          <w:noProof/>
          <w:lang w:val="hy-AM"/>
        </w:rPr>
        <w:lastRenderedPageBreak/>
        <w:t xml:space="preserve">о </w:t>
      </w:r>
      <w:r>
        <w:rPr>
          <w:rFonts w:ascii="GHEA Grapalat" w:hAnsi="GHEA Grapalat" w:cs="Arial"/>
          <w:noProof/>
          <w:lang w:val="hy-AM"/>
        </w:rPr>
        <w:t xml:space="preserve">Подрядчике </w:t>
      </w:r>
      <w:r>
        <w:rPr>
          <w:rFonts w:ascii="GHEA Grapalat" w:hAnsi="GHEA Grapalat" w:cs="Sylfaen"/>
          <w:noProof/>
          <w:lang w:val="hy-AM"/>
        </w:rPr>
        <w:t>или Изменения должны быть доведены до сведения его сотрудников в течение 15 рабочих дней со дня их вступления в силу.</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Б) </w:t>
      </w:r>
      <w:r>
        <w:rPr>
          <w:rFonts w:ascii="GHEA Grapalat" w:hAnsi="GHEA Grapalat" w:cs="Sylfaen"/>
          <w:noProof/>
          <w:lang w:val="hy-AM"/>
        </w:rPr>
        <w:tab/>
        <w:t>рекомендации о необходимости обучения внутренних аудиторов и направленности программы обучения;</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В) </w:t>
      </w:r>
      <w:r>
        <w:rPr>
          <w:rFonts w:ascii="GHEA Grapalat" w:hAnsi="GHEA Grapalat" w:cs="Sylfaen"/>
          <w:noProof/>
          <w:lang w:val="hy-AM"/>
        </w:rPr>
        <w:tab/>
        <w:t>стратегический план, включая любые внесенные в него изменения, в течение двух рабочих дней со дня его утверждения в порядке, установленном законодательством о внутреннем аудите, для сведения;</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Г) </w:t>
      </w:r>
      <w:r>
        <w:rPr>
          <w:rFonts w:ascii="GHEA Grapalat" w:hAnsi="GHEA Grapalat" w:cs="Sylfaen"/>
          <w:noProof/>
          <w:lang w:val="hy-AM"/>
        </w:rPr>
        <w:tab/>
        <w:t>годовую программу на следующий год - до 1 декабря данного года;</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Д) </w:t>
      </w:r>
      <w:r>
        <w:rPr>
          <w:rFonts w:ascii="GHEA Grapalat" w:hAnsi="GHEA Grapalat" w:cs="Sylfaen"/>
          <w:noProof/>
          <w:lang w:val="hy-AM"/>
        </w:rPr>
        <w:tab/>
        <w:t>отчет по форме 2, представленный в приложении 9 к приказу Министра финансов Республики Армения от 17 февраля 2012 года N 143-Н, в течение 5 рабочих дней после утверждения правил внутреннего аудита или внесения записи в силу поправки;</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Е) </w:t>
      </w:r>
      <w:r>
        <w:rPr>
          <w:rFonts w:ascii="GHEA Grapalat" w:hAnsi="GHEA Grapalat" w:cs="Sylfaen"/>
          <w:noProof/>
          <w:lang w:val="hy-AM"/>
        </w:rPr>
        <w:tab/>
        <w:t>годовой сводный отчет внутреннего аудита до 1 марта следующего года;</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G) </w:t>
      </w:r>
      <w:r>
        <w:rPr>
          <w:rFonts w:ascii="GHEA Grapalat" w:hAnsi="GHEA Grapalat" w:cs="Sylfaen"/>
          <w:noProof/>
          <w:lang w:val="hy-AM"/>
        </w:rPr>
        <w:tab/>
        <w:t>Контрольные списки и анкеты внутренней оценки, утвержденные организацией, а также любые изменения, внесенные в них, в течение 5 рабочих дней после утверждения;</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З) </w:t>
      </w:r>
      <w:r>
        <w:rPr>
          <w:rFonts w:ascii="GHEA Grapalat" w:hAnsi="GHEA Grapalat" w:cs="Sylfaen"/>
          <w:noProof/>
          <w:lang w:val="hy-AM"/>
        </w:rPr>
        <w:tab/>
        <w:t>результаты внутренней оценки, необходимые планы действий и результаты их реализации - не реже одного раза в год, желательно вместе с годовым сводным отчетом.</w:t>
      </w:r>
    </w:p>
    <w:p>
      <w:pPr>
        <w:ind w:firstLine="558"/>
        <w:jc w:val="both"/>
        <w:rPr>
          <w:rFonts w:ascii="GHEA Grapalat" w:hAnsi="GHEA Grapalat" w:cs="Arial"/>
          <w:b/>
          <w:noProof/>
          <w:lang w:val="hy-AM"/>
        </w:rPr>
      </w:pPr>
      <w:r>
        <w:rPr>
          <w:rFonts w:ascii="GHEA Grapalat" w:hAnsi="GHEA Grapalat" w:cs="Arial"/>
          <w:b/>
          <w:noProof/>
          <w:lang w:val="hy-AM"/>
        </w:rPr>
        <w:t xml:space="preserve">5 </w:t>
      </w:r>
      <w:r>
        <w:rPr>
          <w:rFonts w:ascii="Cambria Math" w:eastAsia="MS Mincho" w:hAnsi="Cambria Math" w:cs="Cambria Math"/>
          <w:b/>
          <w:noProof/>
          <w:lang w:val="hy-AM"/>
        </w:rPr>
        <w:t xml:space="preserve">․ </w:t>
      </w:r>
      <w:r>
        <w:rPr>
          <w:rFonts w:ascii="GHEA Grapalat" w:hAnsi="GHEA Grapalat" w:cs="Arial"/>
          <w:b/>
          <w:noProof/>
          <w:lang w:val="hy-AM"/>
        </w:rPr>
        <w:t>ОБЩИЕ ТРЕБОВАНИЯ К ПОСТАВЩИКУ УСЛУГ ВНУТРЕННЕГО АУДИТА</w:t>
      </w:r>
    </w:p>
    <w:p>
      <w:pPr>
        <w:spacing w:line="360" w:lineRule="auto"/>
        <w:ind w:firstLine="567"/>
        <w:jc w:val="both"/>
        <w:rPr>
          <w:rFonts w:ascii="GHEA Grapalat" w:hAnsi="GHEA Grapalat" w:cs="Arial"/>
          <w:noProof/>
          <w:lang w:val="hy-AM"/>
        </w:rPr>
      </w:pPr>
      <w:r>
        <w:rPr>
          <w:rFonts w:ascii="GHEA Grapalat" w:hAnsi="GHEA Grapalat" w:cs="Arial"/>
          <w:noProof/>
          <w:lang w:val="hy-AM"/>
        </w:rPr>
        <w:t xml:space="preserve">а) </w:t>
      </w:r>
      <w:r>
        <w:rPr>
          <w:rFonts w:ascii="GHEA Grapalat" w:hAnsi="GHEA Grapalat" w:cs="Sylfaen"/>
          <w:noProof/>
          <w:lang w:val="hy-AM"/>
        </w:rPr>
        <w:t xml:space="preserve">Исполнитель </w:t>
      </w:r>
      <w:r>
        <w:rPr>
          <w:rFonts w:ascii="GHEA Grapalat" w:hAnsi="GHEA Grapalat" w:cs="Arial"/>
          <w:noProof/>
          <w:lang w:val="hy-AM"/>
        </w:rPr>
        <w:t>должен быть включен в перечень организаций, имеющих право проводить внутренний аудит в государственном секторе, который ведет уполномоченный орган;</w:t>
      </w:r>
    </w:p>
    <w:p>
      <w:pPr>
        <w:spacing w:line="360" w:lineRule="auto"/>
        <w:ind w:firstLine="567"/>
        <w:jc w:val="both"/>
        <w:rPr>
          <w:rFonts w:ascii="GHEA Grapalat" w:hAnsi="GHEA Grapalat" w:cs="Arial"/>
          <w:noProof/>
          <w:lang w:val="hy-AM"/>
        </w:rPr>
      </w:pPr>
      <w:r>
        <w:rPr>
          <w:rFonts w:ascii="GHEA Grapalat" w:hAnsi="GHEA Grapalat" w:cs="Arial"/>
          <w:noProof/>
          <w:lang w:val="hy-AM"/>
        </w:rPr>
        <w:t xml:space="preserve">б) Аудиторы, привлекаемые </w:t>
      </w:r>
      <w:r>
        <w:rPr>
          <w:rFonts w:ascii="GHEA Grapalat" w:hAnsi="GHEA Grapalat" w:cs="Sylfaen"/>
          <w:noProof/>
          <w:lang w:val="hy-AM"/>
        </w:rPr>
        <w:t xml:space="preserve">Исполнителем </w:t>
      </w:r>
      <w:r>
        <w:rPr>
          <w:rFonts w:ascii="GHEA Grapalat" w:hAnsi="GHEA Grapalat" w:cs="Arial"/>
          <w:noProof/>
          <w:lang w:val="hy-AM"/>
        </w:rPr>
        <w:t xml:space="preserve">для оказания услуг, предусмотренных настоящим техническим заданием, должны иметь квалификацию внутреннего аудитора государственного сектора Республики Армения, не менее 3 лет </w:t>
      </w:r>
      <w:r>
        <w:rPr>
          <w:rFonts w:ascii="GHEA Grapalat" w:hAnsi="GHEA Grapalat" w:cs="Arial"/>
          <w:noProof/>
          <w:lang w:val="hy-AM"/>
        </w:rPr>
        <w:lastRenderedPageBreak/>
        <w:t>профессионального опыта в сфере аудита (внутреннего аудита). и/или внешний), и не должен одновременно работать во внутренних и/или внешних аудиторских службах. в других поставщиках услуг или работать внутренним аудитором в других организациях,</w:t>
      </w:r>
    </w:p>
    <w:p>
      <w:pPr>
        <w:spacing w:line="360" w:lineRule="auto"/>
        <w:ind w:firstLine="567"/>
        <w:jc w:val="both"/>
        <w:rPr>
          <w:rFonts w:ascii="GHEA Grapalat" w:hAnsi="GHEA Grapalat" w:cs="Arial"/>
          <w:noProof/>
          <w:lang w:val="hy-AM"/>
        </w:rPr>
      </w:pPr>
      <w:r>
        <w:rPr>
          <w:rFonts w:ascii="GHEA Grapalat" w:hAnsi="GHEA Grapalat" w:cs="Arial"/>
          <w:noProof/>
          <w:lang w:val="hy-AM"/>
        </w:rPr>
        <w:t xml:space="preserve">в) После составления годовой программы </w:t>
      </w:r>
      <w:r>
        <w:rPr>
          <w:rFonts w:ascii="GHEA Grapalat" w:hAnsi="GHEA Grapalat" w:cs="Sylfaen"/>
          <w:noProof/>
          <w:lang w:val="hy-AM"/>
        </w:rPr>
        <w:t xml:space="preserve">внутреннего </w:t>
      </w:r>
      <w:r>
        <w:rPr>
          <w:rFonts w:ascii="GHEA Grapalat" w:hAnsi="GHEA Grapalat" w:cs="Arial"/>
          <w:noProof/>
          <w:lang w:val="hy-AM"/>
        </w:rPr>
        <w:t>аудита и расчета необходимых кадровых ресурсов Подрядчик при необходимости может привлекать дополнительные трудовые ресурсы, соответствующие критериям, указанным в пункте б). Для этого Подрядчик должен иметь расчет необходимых кадровых ресурсов. в соответствии с критериями, указанными в пункте б) в порядке, установленном законодательством о внутреннем аудите. Достаточные, достаточные человеческие ресурсы для надлежащего выполнения стратегических и годовых планов, составленных на основе результатов оценки рисков элементов внутреннего аудита среда внутреннего аудита организации государственного сектора.</w:t>
      </w:r>
    </w:p>
    <w:p>
      <w:pPr>
        <w:spacing w:line="360" w:lineRule="auto"/>
        <w:ind w:firstLine="567"/>
        <w:jc w:val="both"/>
        <w:rPr>
          <w:rFonts w:ascii="GHEA Grapalat" w:hAnsi="GHEA Grapalat" w:cs="Arial"/>
          <w:noProof/>
          <w:lang w:val="hy-AM"/>
        </w:rPr>
      </w:pPr>
      <w:r>
        <w:rPr>
          <w:rFonts w:ascii="GHEA Grapalat" w:hAnsi="GHEA Grapalat" w:cs="Sylfaen"/>
          <w:noProof/>
          <w:lang w:val="hy-AM"/>
        </w:rPr>
        <w:t xml:space="preserve">Исполнитель </w:t>
      </w:r>
      <w:r>
        <w:rPr>
          <w:rFonts w:ascii="GHEA Grapalat" w:hAnsi="GHEA Grapalat" w:cs="Arial"/>
          <w:noProof/>
          <w:lang w:val="hy-AM"/>
        </w:rPr>
        <w:t xml:space="preserve">обязан осуществлять работу по внутреннему аудиту в соответствии с требованиями законодательства </w:t>
      </w:r>
      <w:r>
        <w:rPr>
          <w:rFonts w:ascii="GHEA Grapalat" w:hAnsi="GHEA Grapalat" w:cs="Sylfaen"/>
          <w:noProof/>
          <w:lang w:val="hy-AM"/>
        </w:rPr>
        <w:t xml:space="preserve">Республики Армения о внутреннем аудите </w:t>
      </w:r>
      <w:r>
        <w:rPr>
          <w:rFonts w:ascii="GHEA Grapalat" w:hAnsi="GHEA Grapalat" w:cs="Arial"/>
          <w:noProof/>
          <w:lang w:val="hy-AM"/>
        </w:rPr>
        <w:t xml:space="preserve">и профессиональных стандартов внутреннего аудита </w:t>
      </w:r>
      <w:r>
        <w:rPr>
          <w:rFonts w:ascii="GHEA Grapalat" w:hAnsi="GHEA Grapalat" w:cs="Sylfaen"/>
          <w:noProof/>
          <w:lang w:val="hy-AM"/>
        </w:rPr>
        <w:t>Республики Армения , а также соблюдать кодекс поведения внутреннего аудитора.</w:t>
      </w:r>
    </w:p>
    <w:p>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6 </w:t>
      </w:r>
      <w:r>
        <w:rPr>
          <w:rFonts w:ascii="Cambria Math" w:eastAsia="MS Mincho" w:hAnsi="Cambria Math" w:cs="Cambria Math"/>
          <w:b/>
          <w:noProof/>
          <w:lang w:val="hy-AM"/>
        </w:rPr>
        <w:t xml:space="preserve">․ </w:t>
      </w:r>
      <w:r>
        <w:rPr>
          <w:rFonts w:ascii="GHEA Grapalat" w:hAnsi="GHEA Grapalat" w:cs="Arial"/>
          <w:b/>
          <w:noProof/>
          <w:lang w:val="hy-AM"/>
        </w:rPr>
        <w:t>ГРАФИК ПОЛУЧЕНИЯ И ОПЛАТЫ УСЛУГ</w:t>
      </w:r>
    </w:p>
    <w:p>
      <w:pPr>
        <w:spacing w:line="360" w:lineRule="auto"/>
        <w:ind w:firstLine="567"/>
        <w:jc w:val="both"/>
        <w:rPr>
          <w:rFonts w:ascii="GHEA Grapalat" w:hAnsi="GHEA Grapalat"/>
          <w:lang w:val="hy-AM"/>
        </w:rPr>
      </w:pPr>
      <w:r>
        <w:rPr>
          <w:rFonts w:ascii="GHEA Grapalat" w:hAnsi="GHEA Grapalat"/>
          <w:lang w:val="hy-AM"/>
        </w:rPr>
        <w:tab/>
        <w:t>Заключаемым договором устанавливается срок оказания услуг не менее 3 месяцев, в расчет которого не включаются периоды, связанные с утверждением отчетов заказчиком.</w:t>
      </w:r>
    </w:p>
    <w:p>
      <w:pPr>
        <w:spacing w:line="360" w:lineRule="auto"/>
        <w:ind w:firstLine="567"/>
        <w:jc w:val="both"/>
        <w:rPr>
          <w:rFonts w:ascii="GHEA Grapalat" w:hAnsi="GHEA Grapalat" w:cs="Sylfaen"/>
          <w:noProof/>
          <w:lang w:val="hy-AM"/>
        </w:rPr>
      </w:pPr>
      <w:r>
        <w:rPr>
          <w:rFonts w:ascii="GHEA Grapalat" w:hAnsi="GHEA Grapalat"/>
          <w:lang w:val="hy-AM"/>
        </w:rPr>
        <w:tab/>
        <w:t xml:space="preserve">Отчеты представляются каждые три месяца до 15 числа первого месяца, следующего за отчетным. К отчету должны быть приложены </w:t>
      </w:r>
      <w:r>
        <w:rPr>
          <w:rFonts w:ascii="GHEA Grapalat" w:hAnsi="GHEA Grapalat" w:cs="Sylfaen"/>
          <w:noProof/>
          <w:lang w:val="hy-AM"/>
        </w:rPr>
        <w:t xml:space="preserve">характер, содержание и документация по оказанной за данный период услуге, а также письменное подтверждение того, что услуга была оказана в соответствии с с требованиями, указанными в </w:t>
      </w:r>
      <w:r>
        <w:rPr>
          <w:rFonts w:ascii="GHEA Grapalat" w:hAnsi="GHEA Grapalat" w:cs="Arial"/>
          <w:noProof/>
          <w:lang w:val="hy-AM"/>
        </w:rPr>
        <w:t xml:space="preserve">пункте б) раздела 5, трудовыми ресурсами, соответствующими нормативам </w:t>
      </w:r>
      <w:r>
        <w:rPr>
          <w:rFonts w:ascii="GHEA Grapalat" w:hAnsi="GHEA Grapalat" w:cs="Sylfaen"/>
          <w:noProof/>
          <w:lang w:val="hy-AM"/>
        </w:rPr>
        <w:t>.</w:t>
      </w:r>
    </w:p>
    <w:p>
      <w:pPr>
        <w:spacing w:line="360" w:lineRule="auto"/>
        <w:ind w:firstLine="567"/>
        <w:jc w:val="both"/>
        <w:rPr>
          <w:rFonts w:ascii="GHEA Grapalat" w:hAnsi="GHEA Grapalat" w:cs="Sylfaen"/>
          <w:noProof/>
          <w:lang w:val="hy-AM"/>
        </w:rPr>
      </w:pPr>
      <w:r>
        <w:rPr>
          <w:rFonts w:ascii="GHEA Grapalat" w:hAnsi="GHEA Grapalat"/>
          <w:lang w:val="hy-AM"/>
        </w:rPr>
        <w:lastRenderedPageBreak/>
        <w:t xml:space="preserve">заказчиком </w:t>
      </w:r>
      <w:r>
        <w:rPr>
          <w:rFonts w:ascii="GHEA Grapalat" w:hAnsi="GHEA Grapalat" w:cs="Sylfaen"/>
          <w:noProof/>
          <w:lang w:val="hy-AM"/>
        </w:rPr>
        <w:t>или возвращается подрядчику с возражениями в течение 10 рабочих дней со дня его получения. Отчет утверждается решением руководителя организации, на основании которого руководитель ответственного подразделения утверждает акт приема-передачи в течение двух рабочих дней с момента его подачи.</w:t>
      </w:r>
    </w:p>
    <w:p>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оказанных </w:t>
      </w:r>
      <w:r>
        <w:rPr>
          <w:rFonts w:ascii="GHEA Grapalat" w:hAnsi="GHEA Grapalat"/>
          <w:lang w:val="hy-AM"/>
        </w:rPr>
        <w:t xml:space="preserve">услуг </w:t>
      </w:r>
      <w:r>
        <w:rPr>
          <w:rFonts w:ascii="GHEA Grapalat" w:hAnsi="GHEA Grapalat" w:cs="Sylfaen"/>
          <w:noProof/>
          <w:lang w:val="hy-AM"/>
        </w:rPr>
        <w:t>производится каждый раз после утверждения представленного отчета, в месяц, указанный в графике платежей, предусмотренном в договоре.</w:t>
      </w:r>
    </w:p>
    <w:p>
      <w:pPr>
        <w:spacing w:line="360" w:lineRule="auto"/>
        <w:ind w:firstLine="567"/>
        <w:jc w:val="both"/>
        <w:rPr>
          <w:rFonts w:ascii="GHEA Grapalat" w:hAnsi="GHEA Grapalat"/>
          <w:lang w:val="hy-AM"/>
        </w:rPr>
      </w:pPr>
      <w:r>
        <w:rPr>
          <w:rFonts w:ascii="GHEA Grapalat" w:hAnsi="GHEA Grapalat" w:cs="Sylfaen"/>
          <w:noProof/>
          <w:lang w:val="hy-AM"/>
        </w:rPr>
        <w:t xml:space="preserve">При этом , если срок действия договора не истекает в течение финансового года, то в целях обеспечения продолжения оказания услуг в договоре, заключаемом в следующем финансовом году, </w:t>
      </w:r>
      <w:r>
        <w:rPr>
          <w:rFonts w:ascii="GHEA Grapalat" w:hAnsi="GHEA Grapalat"/>
          <w:lang w:val="hy-AM"/>
        </w:rPr>
        <w:t xml:space="preserve">должно быть </w:t>
      </w:r>
      <w:r>
        <w:rPr>
          <w:rFonts w:ascii="GHEA Grapalat" w:hAnsi="GHEA Grapalat" w:cs="Sylfaen"/>
          <w:noProof/>
          <w:lang w:val="hy-AM"/>
        </w:rPr>
        <w:t>также предусмотрено, что его требования применяются к фактически возникшим между сторонами отношениям. сторонами с 1 января того же года, а оплата производится за счет ассигнований, предназначенных для приобретения услуги в этом году .</w:t>
      </w:r>
    </w:p>
    <w:p>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7 </w:t>
      </w:r>
      <w:r>
        <w:rPr>
          <w:rFonts w:ascii="Cambria Math" w:eastAsia="MS Mincho" w:hAnsi="Cambria Math" w:cs="Cambria Math"/>
          <w:b/>
          <w:noProof/>
          <w:lang w:val="hy-AM"/>
        </w:rPr>
        <w:t xml:space="preserve">․ </w:t>
      </w:r>
      <w:r>
        <w:rPr>
          <w:rFonts w:ascii="GHEA Grapalat" w:hAnsi="GHEA Grapalat" w:cs="Arial"/>
          <w:b/>
          <w:noProof/>
          <w:lang w:val="hy-AM"/>
        </w:rPr>
        <w:t>РАБОЧИЕ РЕСУРСЫ</w:t>
      </w:r>
    </w:p>
    <w:p>
      <w:pPr>
        <w:spacing w:line="360" w:lineRule="auto"/>
        <w:ind w:firstLine="567"/>
        <w:jc w:val="both"/>
        <w:rPr>
          <w:rFonts w:ascii="GHEA Grapalat" w:hAnsi="GHEA Grapalat" w:cs="Sylfaen"/>
          <w:noProof/>
          <w:lang w:val="hy-AM"/>
        </w:rPr>
      </w:pPr>
      <w:r>
        <w:rPr>
          <w:rFonts w:ascii="GHEA Grapalat" w:hAnsi="GHEA Grapalat"/>
          <w:lang w:val="hy-AM"/>
        </w:rPr>
        <w:t xml:space="preserve">трудовых </w:t>
      </w:r>
      <w:r>
        <w:rPr>
          <w:rFonts w:ascii="GHEA Grapalat" w:hAnsi="GHEA Grapalat" w:cs="Sylfaen"/>
          <w:noProof/>
          <w:lang w:val="hy-AM"/>
        </w:rPr>
        <w:t>ресурсов отобранный участник представляет письменное заверение, подписанное соответствующим работодателем, о предоставлении гарантии и заявление об отсутствии ограничений, предусмотренных частью 4 статьи 9 Закона «О внутреннем аудите».</w:t>
      </w:r>
    </w:p>
    <w:p>
      <w:pPr>
        <w:spacing w:line="360" w:lineRule="auto"/>
        <w:ind w:firstLine="558"/>
        <w:jc w:val="both"/>
        <w:rPr>
          <w:rFonts w:ascii="GHEA Grapalat" w:hAnsi="GHEA Grapalat" w:cs="Arial"/>
          <w:b/>
          <w:noProof/>
          <w:lang w:val="hy-AM"/>
        </w:rPr>
      </w:pPr>
      <w:r>
        <w:rPr>
          <w:rFonts w:ascii="GHEA Grapalat" w:hAnsi="GHEA Grapalat" w:cs="Arial"/>
          <w:b/>
          <w:noProof/>
          <w:lang w:val="hy-AM"/>
        </w:rPr>
        <w:t>8. ДРУГАЯ ИНФОРМАЦИЯ</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Функции организаций государственного сектора Республики Армения определяются Законом «О структуре и деятельности Правительства» и иными нормативными правовыми актами.</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В приглашении также может быть предусмотрено, что участник должен предоставить вместе с ценовым предложением единичные расценки на отдельные элементы оказания услуг.</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Подрядчику будут предоставлены копии внутренних правовых актов, вытекающих из законодательства организации о внутреннем аудите.</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lastRenderedPageBreak/>
        <w:t xml:space="preserve">Подрядчику будут предоставлены годовые и трехлетние стратегические планы организации </w:t>
      </w:r>
      <w:r>
        <w:rPr>
          <w:rFonts w:ascii="Cambria Math" w:eastAsia="MS Mincho" w:hAnsi="Cambria Math" w:cs="Cambria Math"/>
          <w:noProof/>
          <w:lang w:val="hy-AM"/>
        </w:rPr>
        <w:t>.</w:t>
      </w:r>
    </w:p>
    <w:p>
      <w:pPr>
        <w:numPr>
          <w:ilvl w:val="0"/>
          <w:numId w:val="2"/>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Отношения, связанные с внутренним аудитом, регулируются, в частности, следующими правовыми актами:</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Закон «О внутреннем аудите»</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1233-Н от 11 августа 2011 года.</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974-Н от 8 декабря 2011 года.</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143-Н от 17 февраля 2012 года.</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165-Н от 23 февраля 2012 года.</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732-Н от 31 мая 2012 года.</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1050-Н от 30 ноября 2012 года.</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1096-Н от 12 декабря 2012 года.</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896-Н от 8 августа 2013 года.</w:t>
      </w:r>
    </w:p>
    <w:p>
      <w:pPr>
        <w:numPr>
          <w:ilvl w:val="0"/>
          <w:numId w:val="3"/>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176-Н от 13 февраля 2013 года.</w:t>
      </w:r>
    </w:p>
    <w:p>
      <w:pPr>
        <w:numPr>
          <w:ilvl w:val="0"/>
          <w:numId w:val="3"/>
        </w:numPr>
        <w:spacing w:line="360" w:lineRule="auto"/>
        <w:ind w:left="0" w:firstLine="558"/>
        <w:jc w:val="both"/>
        <w:rPr>
          <w:rFonts w:ascii="GHEA Grapalat" w:hAnsi="GHEA Grapalat" w:cs="Arial"/>
          <w:b/>
          <w:noProof/>
          <w:lang w:val="hy-AM"/>
        </w:rPr>
      </w:pPr>
      <w:r>
        <w:rPr>
          <w:rFonts w:ascii="GHEA Grapalat" w:hAnsi="GHEA Grapalat" w:cs="Sylfaen"/>
          <w:noProof/>
          <w:lang w:val="hy-AM"/>
        </w:rPr>
        <w:t>Приказ Министра финансов Республики Армения № 541-Н от 21 августа 2014 года.</w:t>
      </w:r>
    </w:p>
    <w:p>
      <w:pPr>
        <w:spacing w:line="360" w:lineRule="auto"/>
        <w:ind w:left="558"/>
        <w:jc w:val="both"/>
        <w:rPr>
          <w:rFonts w:ascii="GHEA Grapalat" w:hAnsi="GHEA Grapalat" w:cs="Arial"/>
          <w:b/>
          <w:noProof/>
          <w:lang w:val="hy-AM"/>
        </w:rPr>
      </w:pPr>
    </w:p>
    <w:p>
      <w:pPr>
        <w:ind w:firstLine="558"/>
        <w:jc w:val="both"/>
        <w:rPr>
          <w:rFonts w:ascii="GHEA Grapalat" w:hAnsi="GHEA Grapalat" w:cs="Arial"/>
          <w:b/>
          <w:noProof/>
          <w:lang w:val="hy-AM"/>
        </w:rPr>
      </w:pPr>
      <w:r>
        <w:rPr>
          <w:rFonts w:ascii="GHEA Grapalat" w:hAnsi="GHEA Grapalat" w:cs="Arial"/>
          <w:b/>
          <w:noProof/>
          <w:lang w:val="hy-AM"/>
        </w:rPr>
        <w:lastRenderedPageBreak/>
        <w:t xml:space="preserve">9 </w:t>
      </w:r>
      <w:r>
        <w:rPr>
          <w:rFonts w:ascii="Cambria Math" w:eastAsia="MS Mincho" w:hAnsi="Cambria Math" w:cs="Cambria Math"/>
          <w:b/>
          <w:noProof/>
          <w:lang w:val="hy-AM"/>
        </w:rPr>
        <w:t xml:space="preserve">․ </w:t>
      </w:r>
      <w:r>
        <w:rPr>
          <w:rFonts w:ascii="GHEA Grapalat" w:hAnsi="GHEA Grapalat" w:cs="Arial"/>
          <w:b/>
          <w:noProof/>
          <w:lang w:val="hy-AM"/>
        </w:rPr>
        <w:t>ТАБЛИЦА ЗАПОЛНЯЕТСЯ ЗАКАЗЧИКОМ</w:t>
      </w:r>
    </w:p>
    <w:p>
      <w:pPr>
        <w:ind w:firstLine="558"/>
        <w:jc w:val="both"/>
        <w:rPr>
          <w:rFonts w:ascii="GHEA Grapalat" w:hAnsi="GHEA Grapalat" w:cs="Arial"/>
          <w:b/>
          <w:noProof/>
          <w:lang w:val="hy-AM"/>
        </w:rPr>
      </w:pPr>
    </w:p>
    <w:p>
      <w:pPr>
        <w:ind w:firstLine="558"/>
        <w:jc w:val="both"/>
        <w:rPr>
          <w:rFonts w:ascii="GHEA Grapalat" w:hAnsi="GHEA Grapalat" w:cs="Arial"/>
          <w:b/>
          <w:noProof/>
          <w:lang w:val="hy-AM"/>
        </w:rPr>
      </w:pPr>
    </w:p>
    <w:tbl>
      <w:tblPr>
        <w:tblStyle w:val="TableGrid"/>
        <w:tblpPr w:leftFromText="180" w:rightFromText="180" w:vertAnchor="text" w:tblpXSpec="center" w:tblpY="1"/>
        <w:tblW w:w="11184" w:type="dxa"/>
        <w:tblLayout w:type="fixed"/>
        <w:tblLook w:val="0000" w:firstRow="0" w:lastRow="0" w:firstColumn="0" w:lastColumn="0" w:noHBand="0" w:noVBand="0"/>
      </w:tblPr>
      <w:tblGrid>
        <w:gridCol w:w="895"/>
        <w:gridCol w:w="3070"/>
        <w:gridCol w:w="1790"/>
        <w:gridCol w:w="2612"/>
        <w:gridCol w:w="1478"/>
        <w:gridCol w:w="1339"/>
      </w:tblGrid>
      <w:tr>
        <w:trPr>
          <w:trHeight w:val="50"/>
        </w:trPr>
        <w:tc>
          <w:tcPr>
            <w:tcW w:w="895" w:type="dxa"/>
            <w:vMerge w:val="restart"/>
          </w:tcPr>
          <w:p>
            <w:pPr>
              <w:pStyle w:val="ListParagraph"/>
              <w:tabs>
                <w:tab w:val="center" w:pos="4677"/>
                <w:tab w:val="right" w:pos="9355"/>
              </w:tabs>
              <w:ind w:left="1080" w:right="205"/>
              <w:rPr>
                <w:rFonts w:ascii="GHEA Grapalat" w:hAnsi="GHEA Grapalat" w:cs="Sylfaen"/>
                <w:b/>
                <w:color w:val="000000" w:themeColor="text1"/>
                <w:lang w:val="hy-AM"/>
              </w:rPr>
            </w:pPr>
            <w:r>
              <w:rPr>
                <w:rFonts w:ascii="GHEA Grapalat" w:hAnsi="GHEA Grapalat" w:cs="Sylfaen"/>
                <w:b/>
                <w:color w:val="000000" w:themeColor="text1"/>
              </w:rPr>
              <w:t>Н</w:t>
            </w:r>
          </w:p>
        </w:tc>
        <w:tc>
          <w:tcPr>
            <w:tcW w:w="3070" w:type="dxa"/>
            <w:vMerge w:val="restart"/>
          </w:tcPr>
          <w:p>
            <w:pPr>
              <w:ind w:right="205" w:firstLine="360"/>
              <w:jc w:val="center"/>
              <w:rPr>
                <w:rFonts w:ascii="GHEA Grapalat" w:hAnsi="GHEA Grapalat" w:cs="Sylfaen"/>
                <w:b/>
                <w:color w:val="000000" w:themeColor="text1"/>
                <w:lang w:val="hy-AM"/>
              </w:rPr>
            </w:pPr>
            <w:r>
              <w:rPr>
                <w:rFonts w:ascii="GHEA Grapalat" w:hAnsi="GHEA Grapalat" w:cs="Sylfaen"/>
                <w:b/>
                <w:color w:val="000000" w:themeColor="text1"/>
                <w:lang w:val="hy-AM"/>
              </w:rPr>
              <w:t>Название подразделения</w:t>
            </w:r>
          </w:p>
        </w:tc>
        <w:tc>
          <w:tcPr>
            <w:tcW w:w="1790" w:type="dxa"/>
            <w:vMerge w:val="restart"/>
          </w:tcPr>
          <w:p>
            <w:pPr>
              <w:ind w:right="205" w:firstLine="360"/>
              <w:jc w:val="center"/>
              <w:rPr>
                <w:rFonts w:ascii="GHEA Grapalat" w:hAnsi="GHEA Grapalat" w:cs="Sylfaen"/>
                <w:b/>
                <w:color w:val="000000" w:themeColor="text1"/>
                <w:lang w:val="hy-AM"/>
              </w:rPr>
            </w:pPr>
            <w:r>
              <w:rPr>
                <w:rFonts w:ascii="GHEA Grapalat" w:hAnsi="GHEA Grapalat" w:cs="Sylfaen"/>
                <w:b/>
                <w:color w:val="000000" w:themeColor="text1"/>
                <w:lang w:val="hy-AM"/>
              </w:rPr>
              <w:t>Группа риска</w:t>
            </w:r>
          </w:p>
        </w:tc>
        <w:tc>
          <w:tcPr>
            <w:tcW w:w="2612" w:type="dxa"/>
            <w:vMerge w:val="restart"/>
          </w:tcPr>
          <w:p>
            <w:pPr>
              <w:ind w:right="205" w:hanging="58"/>
              <w:jc w:val="center"/>
              <w:rPr>
                <w:rFonts w:ascii="GHEA Grapalat" w:hAnsi="GHEA Grapalat" w:cs="Sylfaen"/>
                <w:b/>
                <w:color w:val="000000" w:themeColor="text1"/>
                <w:lang w:val="hy-AM"/>
              </w:rPr>
            </w:pPr>
            <w:r>
              <w:rPr>
                <w:rFonts w:ascii="GHEA Grapalat" w:hAnsi="GHEA Grapalat" w:cs="Sylfaen"/>
                <w:color w:val="000000" w:themeColor="text1"/>
                <w:lang w:val="hy-AM"/>
              </w:rPr>
              <w:t>Тип аудита</w:t>
            </w:r>
          </w:p>
        </w:tc>
        <w:tc>
          <w:tcPr>
            <w:tcW w:w="2817" w:type="dxa"/>
            <w:gridSpan w:val="2"/>
          </w:tcPr>
          <w:p>
            <w:pPr>
              <w:ind w:right="205" w:hanging="58"/>
              <w:jc w:val="center"/>
              <w:rPr>
                <w:rFonts w:ascii="GHEA Grapalat" w:hAnsi="GHEA Grapalat" w:cs="Sylfaen"/>
                <w:b/>
                <w:color w:val="000000" w:themeColor="text1"/>
                <w:lang w:val="hy-AM"/>
              </w:rPr>
            </w:pPr>
            <w:r>
              <w:rPr>
                <w:rFonts w:ascii="GHEA Grapalat" w:hAnsi="GHEA Grapalat" w:cs="Sylfaen"/>
                <w:b/>
                <w:color w:val="000000" w:themeColor="text1"/>
                <w:lang w:val="hy-AM"/>
              </w:rPr>
              <w:t>Всего человек/день</w:t>
            </w:r>
          </w:p>
        </w:tc>
      </w:tr>
      <w:tr>
        <w:trPr>
          <w:trHeight w:val="49"/>
        </w:trPr>
        <w:tc>
          <w:tcPr>
            <w:tcW w:w="895" w:type="dxa"/>
            <w:vMerge/>
          </w:tcPr>
          <w:p>
            <w:pPr>
              <w:ind w:right="205" w:firstLine="360"/>
              <w:jc w:val="center"/>
              <w:rPr>
                <w:rFonts w:ascii="GHEA Grapalat" w:hAnsi="GHEA Grapalat" w:cs="Sylfaen"/>
                <w:b/>
                <w:color w:val="000000" w:themeColor="text1"/>
              </w:rPr>
            </w:pPr>
          </w:p>
        </w:tc>
        <w:tc>
          <w:tcPr>
            <w:tcW w:w="3070" w:type="dxa"/>
            <w:vMerge/>
          </w:tcPr>
          <w:p>
            <w:pPr>
              <w:ind w:right="205" w:firstLine="360"/>
              <w:jc w:val="center"/>
              <w:rPr>
                <w:rFonts w:ascii="GHEA Grapalat" w:hAnsi="GHEA Grapalat" w:cs="Sylfaen"/>
                <w:b/>
                <w:color w:val="000000" w:themeColor="text1"/>
                <w:lang w:val="hy-AM"/>
              </w:rPr>
            </w:pPr>
          </w:p>
        </w:tc>
        <w:tc>
          <w:tcPr>
            <w:tcW w:w="1790" w:type="dxa"/>
            <w:vMerge/>
          </w:tcPr>
          <w:p>
            <w:pPr>
              <w:ind w:right="205" w:firstLine="360"/>
              <w:jc w:val="center"/>
              <w:rPr>
                <w:rFonts w:ascii="GHEA Grapalat" w:hAnsi="GHEA Grapalat" w:cs="Sylfaen"/>
                <w:b/>
                <w:color w:val="000000" w:themeColor="text1"/>
                <w:lang w:val="hy-AM"/>
              </w:rPr>
            </w:pPr>
          </w:p>
        </w:tc>
        <w:tc>
          <w:tcPr>
            <w:tcW w:w="2612" w:type="dxa"/>
            <w:vMerge/>
          </w:tcPr>
          <w:p>
            <w:pPr>
              <w:ind w:right="205" w:firstLine="360"/>
              <w:jc w:val="center"/>
              <w:rPr>
                <w:rFonts w:ascii="GHEA Grapalat" w:hAnsi="GHEA Grapalat" w:cs="Sylfaen"/>
                <w:b/>
                <w:color w:val="000000" w:themeColor="text1"/>
                <w:lang w:val="hy-AM"/>
              </w:rPr>
            </w:pPr>
          </w:p>
        </w:tc>
        <w:tc>
          <w:tcPr>
            <w:tcW w:w="1478" w:type="dxa"/>
          </w:tcPr>
          <w:p>
            <w:pPr>
              <w:ind w:right="205" w:firstLine="360"/>
              <w:jc w:val="center"/>
              <w:rPr>
                <w:rFonts w:ascii="GHEA Grapalat" w:hAnsi="GHEA Grapalat" w:cs="Sylfaen"/>
                <w:b/>
                <w:color w:val="000000" w:themeColor="text1"/>
                <w:lang w:val="hy-AM"/>
              </w:rPr>
            </w:pPr>
            <w:r>
              <w:rPr>
                <w:rFonts w:ascii="GHEA Grapalat" w:hAnsi="GHEA Grapalat" w:cs="Sylfaen"/>
                <w:b/>
                <w:color w:val="000000" w:themeColor="text1"/>
                <w:lang w:val="hy-AM"/>
              </w:rPr>
              <w:t>Мужчина</w:t>
            </w:r>
          </w:p>
        </w:tc>
        <w:tc>
          <w:tcPr>
            <w:tcW w:w="1339" w:type="dxa"/>
          </w:tcPr>
          <w:p>
            <w:pPr>
              <w:ind w:right="205" w:firstLine="360"/>
              <w:jc w:val="center"/>
              <w:rPr>
                <w:rFonts w:ascii="GHEA Grapalat" w:hAnsi="GHEA Grapalat" w:cs="Sylfaen"/>
                <w:b/>
                <w:color w:val="000000" w:themeColor="text1"/>
                <w:lang w:val="hy-AM"/>
              </w:rPr>
            </w:pPr>
            <w:r>
              <w:rPr>
                <w:rFonts w:ascii="GHEA Grapalat" w:hAnsi="GHEA Grapalat" w:cs="Sylfaen"/>
                <w:b/>
                <w:color w:val="000000" w:themeColor="text1"/>
                <w:lang w:val="hy-AM"/>
              </w:rPr>
              <w:t>День</w:t>
            </w:r>
          </w:p>
        </w:tc>
      </w:tr>
      <w:tr>
        <w:trPr>
          <w:trHeight w:val="30"/>
        </w:trPr>
        <w:tc>
          <w:tcPr>
            <w:tcW w:w="895" w:type="dxa"/>
          </w:tcPr>
          <w:p>
            <w:pPr>
              <w:ind w:right="205" w:firstLine="157"/>
              <w:jc w:val="center"/>
              <w:rPr>
                <w:rFonts w:ascii="GHEA Grapalat" w:hAnsi="GHEA Grapalat" w:cs="Sylfaen"/>
                <w:color w:val="000000" w:themeColor="text1"/>
              </w:rPr>
            </w:pPr>
            <w:r>
              <w:rPr>
                <w:rFonts w:ascii="GHEA Grapalat" w:hAnsi="GHEA Grapalat" w:cs="Sylfaen"/>
                <w:color w:val="000000" w:themeColor="text1"/>
              </w:rPr>
              <w:t>1.</w:t>
            </w:r>
          </w:p>
        </w:tc>
        <w:tc>
          <w:tcPr>
            <w:tcW w:w="3070" w:type="dxa"/>
          </w:tcPr>
          <w:p>
            <w:pPr>
              <w:ind w:right="-41" w:firstLine="261"/>
              <w:jc w:val="center"/>
              <w:rPr>
                <w:rFonts w:ascii="GHEA Grapalat" w:hAnsi="GHEA Grapalat" w:cs="Sylfaen"/>
                <w:b/>
                <w:color w:val="000000" w:themeColor="text1"/>
                <w:lang w:val="ru-RU"/>
              </w:rPr>
            </w:pPr>
            <w:r>
              <w:rPr>
                <w:rFonts w:ascii="GHEA Grapalat" w:hAnsi="GHEA Grapalat"/>
                <w:lang w:val="ru-RU"/>
              </w:rPr>
              <w:t xml:space="preserve">Пенсия безопасность и прочее денежный платежи отделение </w:t>
            </w:r>
          </w:p>
        </w:tc>
        <w:tc>
          <w:tcPr>
            <w:tcW w:w="1790" w:type="dxa"/>
          </w:tcPr>
          <w:p>
            <w:pPr>
              <w:ind w:right="205" w:firstLine="360"/>
              <w:jc w:val="center"/>
              <w:rPr>
                <w:rFonts w:ascii="GHEA Grapalat" w:hAnsi="GHEA Grapalat" w:cs="Sylfaen"/>
                <w:b/>
                <w:color w:val="000000" w:themeColor="text1"/>
                <w:lang w:val="hy-AM"/>
              </w:rPr>
            </w:pPr>
            <w:r>
              <w:rPr>
                <w:rFonts w:ascii="GHEA Grapalat" w:hAnsi="GHEA Grapalat" w:cs="Arial"/>
                <w:color w:val="000000" w:themeColor="text1"/>
                <w:lang w:val="hy-AM" w:eastAsia="ru-RU"/>
              </w:rPr>
              <w:t>Высокий</w:t>
            </w:r>
          </w:p>
        </w:tc>
        <w:tc>
          <w:tcPr>
            <w:tcW w:w="2612" w:type="dxa"/>
          </w:tcPr>
          <w:p>
            <w:pPr>
              <w:ind w:right="205"/>
              <w:jc w:val="center"/>
              <w:rPr>
                <w:rFonts w:ascii="GHEA Grapalat" w:hAnsi="GHEA Grapalat" w:cs="Arial"/>
                <w:color w:val="000000" w:themeColor="text1"/>
                <w:lang w:val="hy-AM" w:eastAsia="ru-RU"/>
              </w:rPr>
            </w:pPr>
            <w:r>
              <w:rPr>
                <w:rFonts w:ascii="GHEA Grapalat" w:hAnsi="GHEA Grapalat" w:cs="Sylfaen"/>
                <w:color w:val="000000" w:themeColor="text1"/>
                <w:lang w:val="hy-AM"/>
              </w:rPr>
              <w:t>Аудит соответствия и эффективности</w:t>
            </w:r>
          </w:p>
        </w:tc>
        <w:tc>
          <w:tcPr>
            <w:tcW w:w="1478" w:type="dxa"/>
          </w:tcPr>
          <w:p>
            <w:pPr>
              <w:ind w:right="205" w:firstLine="360"/>
              <w:jc w:val="center"/>
              <w:rPr>
                <w:rFonts w:ascii="GHEA Grapalat" w:hAnsi="GHEA Grapalat" w:cs="Arial"/>
                <w:color w:val="000000" w:themeColor="text1"/>
                <w:lang w:val="hy-AM" w:eastAsia="ru-RU"/>
              </w:rPr>
            </w:pPr>
            <w:r>
              <w:rPr>
                <w:rFonts w:ascii="GHEA Grapalat" w:hAnsi="GHEA Grapalat" w:cs="Arial"/>
                <w:color w:val="000000" w:themeColor="text1"/>
                <w:lang w:val="hy-AM" w:eastAsia="ru-RU"/>
              </w:rPr>
              <w:t>4</w:t>
            </w:r>
          </w:p>
        </w:tc>
        <w:tc>
          <w:tcPr>
            <w:tcW w:w="1339" w:type="dxa"/>
          </w:tcPr>
          <w:p>
            <w:pPr>
              <w:ind w:right="205" w:firstLine="360"/>
              <w:jc w:val="center"/>
              <w:rPr>
                <w:rFonts w:ascii="GHEA Grapalat" w:hAnsi="GHEA Grapalat" w:cs="Arial"/>
                <w:color w:val="000000" w:themeColor="text1"/>
                <w:lang w:eastAsia="ru-RU"/>
              </w:rPr>
            </w:pPr>
            <w:r>
              <w:rPr>
                <w:rFonts w:ascii="GHEA Grapalat" w:hAnsi="GHEA Grapalat" w:cs="Arial"/>
                <w:color w:val="000000" w:themeColor="text1"/>
                <w:lang w:eastAsia="ru-RU"/>
              </w:rPr>
              <w:t>15</w:t>
            </w:r>
          </w:p>
        </w:tc>
      </w:tr>
      <w:tr>
        <w:trPr>
          <w:trHeight w:val="56"/>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 xml:space="preserve">2 </w:t>
            </w:r>
            <w:r>
              <w:rPr>
                <w:rFonts w:ascii="Cambria Math" w:hAnsi="Cambria Math" w:cs="Cambria Math"/>
                <w:color w:val="000000" w:themeColor="text1"/>
                <w:lang w:val="hy-AM"/>
              </w:rPr>
              <w:t>․</w:t>
            </w:r>
          </w:p>
        </w:tc>
        <w:tc>
          <w:tcPr>
            <w:tcW w:w="3070" w:type="dxa"/>
          </w:tcPr>
          <w:p>
            <w:pPr>
              <w:ind w:right="205" w:firstLine="261"/>
              <w:jc w:val="center"/>
              <w:rPr>
                <w:rFonts w:ascii="GHEA Grapalat" w:hAnsi="GHEA Grapalat" w:cs="Arial"/>
                <w:color w:val="000000" w:themeColor="text1"/>
                <w:lang w:val="hy-AM" w:eastAsia="ru-RU"/>
              </w:rPr>
            </w:pPr>
            <w:hyperlink r:id="rId6" w:history="1">
              <w:r>
                <w:rPr>
                  <w:rFonts w:ascii="GHEA Grapalat" w:hAnsi="GHEA Grapalat"/>
                  <w:shd w:val="clear" w:color="auto" w:fill="FFFFFF"/>
                  <w:lang w:val="hy-AM"/>
                </w:rPr>
                <w:t>Департамент равных возможностей</w:t>
              </w:r>
            </w:hyperlink>
          </w:p>
        </w:tc>
        <w:tc>
          <w:tcPr>
            <w:tcW w:w="1790" w:type="dxa"/>
          </w:tcPr>
          <w:p>
            <w:pPr>
              <w:ind w:right="205" w:firstLine="360"/>
              <w:jc w:val="center"/>
              <w:rPr>
                <w:rFonts w:ascii="GHEA Grapalat" w:hAnsi="GHEA Grapalat"/>
                <w:color w:val="000000" w:themeColor="text1"/>
                <w:lang w:val="hy-AM"/>
              </w:rPr>
            </w:pPr>
          </w:p>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Высокий</w:t>
            </w:r>
          </w:p>
        </w:tc>
        <w:tc>
          <w:tcPr>
            <w:tcW w:w="2612" w:type="dxa"/>
          </w:tcPr>
          <w:p>
            <w:pPr>
              <w:ind w:right="205"/>
              <w:jc w:val="center"/>
              <w:rPr>
                <w:rFonts w:ascii="GHEA Grapalat" w:hAnsi="GHEA Grapalat"/>
                <w:color w:val="000000" w:themeColor="text1"/>
              </w:rPr>
            </w:pPr>
            <w:r>
              <w:rPr>
                <w:rFonts w:ascii="GHEA Grapalat" w:hAnsi="GHEA Grapalat" w:cs="Sylfaen"/>
                <w:color w:val="000000" w:themeColor="text1"/>
                <w:lang w:val="hy-AM"/>
              </w:rPr>
              <w:t>Аудит соответствия и эффективности</w:t>
            </w:r>
          </w:p>
        </w:tc>
        <w:tc>
          <w:tcPr>
            <w:tcW w:w="1478" w:type="dxa"/>
          </w:tcPr>
          <w:p>
            <w:pPr>
              <w:ind w:right="205" w:firstLine="360"/>
              <w:jc w:val="center"/>
              <w:rPr>
                <w:rFonts w:ascii="GHEA Grapalat" w:hAnsi="GHEA Grapalat"/>
                <w:color w:val="000000" w:themeColor="text1"/>
              </w:rPr>
            </w:pPr>
            <w:r>
              <w:rPr>
                <w:rFonts w:ascii="GHEA Grapalat" w:hAnsi="GHEA Grapalat"/>
                <w:color w:val="000000" w:themeColor="text1"/>
              </w:rPr>
              <w:t>3</w:t>
            </w:r>
          </w:p>
        </w:tc>
        <w:tc>
          <w:tcPr>
            <w:tcW w:w="1339" w:type="dxa"/>
          </w:tcPr>
          <w:p>
            <w:pPr>
              <w:ind w:right="205" w:firstLine="360"/>
              <w:jc w:val="center"/>
              <w:rPr>
                <w:rFonts w:ascii="GHEA Grapalat" w:hAnsi="GHEA Grapalat"/>
                <w:color w:val="000000" w:themeColor="text1"/>
              </w:rPr>
            </w:pPr>
            <w:r>
              <w:rPr>
                <w:rFonts w:ascii="GHEA Grapalat" w:hAnsi="GHEA Grapalat"/>
                <w:color w:val="000000" w:themeColor="text1"/>
              </w:rPr>
              <w:t>15</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 xml:space="preserve">3 </w:t>
            </w:r>
            <w:r>
              <w:rPr>
                <w:rFonts w:ascii="Cambria Math" w:hAnsi="Cambria Math" w:cs="Cambria Math"/>
                <w:color w:val="000000" w:themeColor="text1"/>
                <w:lang w:val="hy-AM"/>
              </w:rPr>
              <w:t>․</w:t>
            </w:r>
          </w:p>
        </w:tc>
        <w:tc>
          <w:tcPr>
            <w:tcW w:w="3070" w:type="dxa"/>
          </w:tcPr>
          <w:p>
            <w:pPr>
              <w:jc w:val="center"/>
              <w:rPr>
                <w:rFonts w:ascii="GHEA Grapalat" w:hAnsi="GHEA Grapalat" w:cs="Calibri"/>
              </w:rPr>
            </w:pPr>
            <w:proofErr w:type="spellStart"/>
            <w:r>
              <w:rPr>
                <w:rFonts w:ascii="GHEA Grapalat" w:hAnsi="GHEA Grapalat"/>
              </w:rPr>
              <w:t>Персонал</w:t>
            </w:r>
            <w:proofErr w:type="spellEnd"/>
            <w:r>
              <w:rPr>
                <w:rFonts w:ascii="GHEA Grapalat" w:hAnsi="GHEA Grapalat"/>
              </w:rPr>
              <w:t xml:space="preserve"> </w:t>
            </w:r>
            <w:proofErr w:type="spellStart"/>
            <w:r>
              <w:rPr>
                <w:rFonts w:ascii="GHEA Grapalat" w:hAnsi="GHEA Grapalat"/>
              </w:rPr>
              <w:t>управление</w:t>
            </w:r>
            <w:proofErr w:type="spellEnd"/>
            <w:r>
              <w:rPr>
                <w:rFonts w:ascii="GHEA Grapalat" w:hAnsi="GHEA Grapalat"/>
              </w:rPr>
              <w:t xml:space="preserve"> </w:t>
            </w:r>
            <w:proofErr w:type="spellStart"/>
            <w:r>
              <w:rPr>
                <w:rFonts w:ascii="GHEA Grapalat" w:hAnsi="GHEA Grapalat"/>
              </w:rPr>
              <w:t>отделение</w:t>
            </w:r>
            <w:proofErr w:type="spellEnd"/>
          </w:p>
        </w:tc>
        <w:tc>
          <w:tcPr>
            <w:tcW w:w="1790" w:type="dxa"/>
          </w:tcPr>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Высокий</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Аудит соответствия и эффективности</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10</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 xml:space="preserve">4 </w:t>
            </w:r>
            <w:r>
              <w:rPr>
                <w:rFonts w:ascii="Cambria Math" w:hAnsi="Cambria Math" w:cs="Cambria Math"/>
                <w:color w:val="000000" w:themeColor="text1"/>
                <w:lang w:val="hy-AM"/>
              </w:rPr>
              <w:t>․</w:t>
            </w:r>
          </w:p>
        </w:tc>
        <w:tc>
          <w:tcPr>
            <w:tcW w:w="3070" w:type="dxa"/>
          </w:tcPr>
          <w:p>
            <w:pPr>
              <w:ind w:right="205" w:firstLine="360"/>
              <w:jc w:val="center"/>
              <w:rPr>
                <w:rFonts w:ascii="GHEA Grapalat" w:hAnsi="GHEA Grapalat" w:cs="Arial"/>
                <w:color w:val="000000" w:themeColor="text1"/>
                <w:lang w:val="hy-AM" w:eastAsia="ru-RU"/>
              </w:rPr>
            </w:pPr>
            <w:r>
              <w:rPr>
                <w:rFonts w:ascii="GHEA Grapalat" w:hAnsi="GHEA Grapalat" w:cs="Sylfaen"/>
                <w:lang w:val="hy-AM"/>
              </w:rPr>
              <w:t>Предоставление родителям погибших военнослужащих права частичного возмещения части затрат на медицинскую помощь и услуги с применением вспомогательных репродуктивных технологий</w:t>
            </w:r>
          </w:p>
        </w:tc>
        <w:tc>
          <w:tcPr>
            <w:tcW w:w="1790" w:type="dxa"/>
          </w:tcPr>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Высокий</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Аудит соответствия и эффективности</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10</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 xml:space="preserve">5 </w:t>
            </w:r>
            <w:r>
              <w:rPr>
                <w:rFonts w:ascii="Cambria Math" w:hAnsi="Cambria Math" w:cs="Cambria Math"/>
                <w:color w:val="000000" w:themeColor="text1"/>
                <w:lang w:val="hy-AM"/>
              </w:rPr>
              <w:t>․</w:t>
            </w:r>
          </w:p>
        </w:tc>
        <w:tc>
          <w:tcPr>
            <w:tcW w:w="3070" w:type="dxa"/>
          </w:tcPr>
          <w:p>
            <w:pPr>
              <w:ind w:right="205" w:firstLine="360"/>
              <w:jc w:val="center"/>
              <w:rPr>
                <w:rFonts w:ascii="GHEA Grapalat" w:hAnsi="GHEA Grapalat" w:cs="Arial"/>
                <w:color w:val="000000" w:themeColor="text1"/>
                <w:lang w:val="hy-AM" w:eastAsia="ru-RU"/>
              </w:rPr>
            </w:pPr>
            <w:r>
              <w:rPr>
                <w:rFonts w:ascii="GHEA Grapalat" w:hAnsi="GHEA Grapalat"/>
                <w:lang w:val="hy-AM" w:eastAsia="ru-RU"/>
              </w:rPr>
              <w:t>ГНКО «Центр круглосуточной помощи «Норк»</w:t>
            </w:r>
          </w:p>
        </w:tc>
        <w:tc>
          <w:tcPr>
            <w:tcW w:w="1790" w:type="dxa"/>
          </w:tcPr>
          <w:p>
            <w:pPr>
              <w:ind w:right="205" w:firstLine="360"/>
              <w:jc w:val="center"/>
              <w:rPr>
                <w:rFonts w:ascii="GHEA Grapalat" w:hAnsi="GHEA Grapalat" w:cs="Arial"/>
                <w:color w:val="000000" w:themeColor="text1"/>
                <w:lang w:eastAsia="ru-RU"/>
              </w:rPr>
            </w:pPr>
            <w:proofErr w:type="spellStart"/>
            <w:r>
              <w:rPr>
                <w:rFonts w:ascii="GHEA Grapalat" w:hAnsi="GHEA Grapalat"/>
                <w:color w:val="000000" w:themeColor="text1"/>
              </w:rPr>
              <w:t>Чувствительный</w:t>
            </w:r>
            <w:proofErr w:type="spellEnd"/>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Аудит соответствия и эффективности</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10</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 xml:space="preserve">6 </w:t>
            </w:r>
            <w:r>
              <w:rPr>
                <w:rFonts w:ascii="Cambria Math" w:hAnsi="Cambria Math" w:cs="Cambria Math"/>
                <w:color w:val="000000" w:themeColor="text1"/>
                <w:lang w:val="hy-AM"/>
              </w:rPr>
              <w:t>․</w:t>
            </w:r>
          </w:p>
        </w:tc>
        <w:tc>
          <w:tcPr>
            <w:tcW w:w="3070" w:type="dxa"/>
          </w:tcPr>
          <w:p>
            <w:pPr>
              <w:jc w:val="center"/>
              <w:rPr>
                <w:rFonts w:ascii="GHEA Grapalat" w:hAnsi="GHEA Grapalat"/>
                <w:lang w:val="hy-AM" w:eastAsia="ru-RU"/>
              </w:rPr>
            </w:pPr>
            <w:r>
              <w:rPr>
                <w:rFonts w:ascii="GHEA Grapalat" w:hAnsi="GHEA Grapalat"/>
                <w:lang w:val="hy-AM" w:eastAsia="ru-RU"/>
              </w:rPr>
              <w:t>«Варденисский специализированный круглосуточный центр ухода»</w:t>
            </w:r>
          </w:p>
          <w:p>
            <w:pPr>
              <w:ind w:right="205" w:firstLine="360"/>
              <w:jc w:val="center"/>
              <w:rPr>
                <w:rFonts w:ascii="GHEA Grapalat" w:hAnsi="GHEA Grapalat" w:cs="Sylfaen"/>
                <w:b/>
                <w:color w:val="000000" w:themeColor="text1"/>
              </w:rPr>
            </w:pPr>
            <w:r>
              <w:rPr>
                <w:rFonts w:ascii="GHEA Grapalat" w:hAnsi="GHEA Grapalat"/>
                <w:lang w:val="hy-AM" w:eastAsia="ru-RU"/>
              </w:rPr>
              <w:t>ГНКО</w:t>
            </w:r>
          </w:p>
        </w:tc>
        <w:tc>
          <w:tcPr>
            <w:tcW w:w="1790" w:type="dxa"/>
          </w:tcPr>
          <w:p>
            <w:pPr>
              <w:ind w:right="205" w:firstLine="360"/>
              <w:jc w:val="center"/>
              <w:rPr>
                <w:rFonts w:ascii="GHEA Grapalat" w:hAnsi="GHEA Grapalat" w:cs="Sylfaen"/>
                <w:b/>
                <w:color w:val="000000" w:themeColor="text1"/>
                <w:lang w:val="hy-AM"/>
              </w:rPr>
            </w:pPr>
            <w:r>
              <w:rPr>
                <w:rFonts w:ascii="GHEA Grapalat" w:hAnsi="GHEA Grapalat" w:cs="Arial"/>
                <w:color w:val="000000" w:themeColor="text1"/>
                <w:lang w:val="hy-AM" w:eastAsia="ru-RU"/>
              </w:rPr>
              <w:t>Чувствительный</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Аудит соответствия и эффективности</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rPr>
            </w:pPr>
            <w:r>
              <w:rPr>
                <w:rFonts w:ascii="GHEA Grapalat" w:hAnsi="GHEA Grapalat"/>
                <w:color w:val="000000" w:themeColor="text1"/>
                <w:lang w:val="hy-AM"/>
              </w:rPr>
              <w:t>15</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 xml:space="preserve">7 </w:t>
            </w:r>
            <w:r>
              <w:rPr>
                <w:rFonts w:ascii="Cambria Math" w:hAnsi="Cambria Math" w:cs="Cambria Math"/>
                <w:color w:val="000000" w:themeColor="text1"/>
                <w:lang w:val="hy-AM"/>
              </w:rPr>
              <w:t>․</w:t>
            </w:r>
          </w:p>
        </w:tc>
        <w:tc>
          <w:tcPr>
            <w:tcW w:w="3070" w:type="dxa"/>
          </w:tcPr>
          <w:p>
            <w:pPr>
              <w:ind w:right="205" w:firstLine="261"/>
              <w:jc w:val="center"/>
              <w:rPr>
                <w:rFonts w:ascii="GHEA Grapalat" w:hAnsi="GHEA Grapalat" w:cs="Arial"/>
                <w:color w:val="000000" w:themeColor="text1"/>
                <w:lang w:val="hy-AM" w:eastAsia="ru-RU"/>
              </w:rPr>
            </w:pPr>
            <w:r>
              <w:rPr>
                <w:rFonts w:ascii="GHEA Grapalat" w:hAnsi="GHEA Grapalat" w:cs="Calibri"/>
                <w:lang w:val="hy-AM"/>
              </w:rPr>
              <w:t>ГНКО «Марийский Измирлянский детский дом»</w:t>
            </w:r>
          </w:p>
        </w:tc>
        <w:tc>
          <w:tcPr>
            <w:tcW w:w="1790" w:type="dxa"/>
          </w:tcPr>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Чувствительный</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Аудит соответствия и эффективности</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rPr>
            </w:pPr>
            <w:r>
              <w:rPr>
                <w:rFonts w:ascii="GHEA Grapalat" w:hAnsi="GHEA Grapalat"/>
                <w:color w:val="000000" w:themeColor="text1"/>
                <w:lang w:val="hy-AM"/>
              </w:rPr>
              <w:t xml:space="preserve">1 </w:t>
            </w:r>
            <w:r>
              <w:rPr>
                <w:rFonts w:ascii="GHEA Grapalat" w:hAnsi="GHEA Grapalat"/>
                <w:color w:val="000000" w:themeColor="text1"/>
              </w:rPr>
              <w:t>0</w:t>
            </w:r>
          </w:p>
        </w:tc>
      </w:tr>
      <w:tr>
        <w:trPr>
          <w:trHeight w:val="30"/>
        </w:trPr>
        <w:tc>
          <w:tcPr>
            <w:tcW w:w="895" w:type="dxa"/>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 xml:space="preserve">8 </w:t>
            </w:r>
            <w:r>
              <w:rPr>
                <w:rFonts w:ascii="Cambria Math" w:hAnsi="Cambria Math" w:cs="Cambria Math"/>
                <w:color w:val="000000" w:themeColor="text1"/>
                <w:lang w:val="hy-AM"/>
              </w:rPr>
              <w:t>․</w:t>
            </w:r>
          </w:p>
        </w:tc>
        <w:tc>
          <w:tcPr>
            <w:tcW w:w="3070" w:type="dxa"/>
          </w:tcPr>
          <w:p>
            <w:pPr>
              <w:ind w:right="205" w:firstLine="360"/>
              <w:jc w:val="center"/>
              <w:rPr>
                <w:rFonts w:ascii="GHEA Grapalat" w:hAnsi="GHEA Grapalat" w:cs="Sylfaen"/>
                <w:b/>
                <w:color w:val="000000" w:themeColor="text1"/>
                <w:lang w:val="hy-AM"/>
              </w:rPr>
            </w:pPr>
            <w:r>
              <w:rPr>
                <w:rFonts w:ascii="GHEA Grapalat" w:hAnsi="GHEA Grapalat" w:cs="Sylfaen"/>
                <w:lang w:val="de-DE"/>
              </w:rPr>
              <w:t>ГНКО «Ереванский «Детский дом»»</w:t>
            </w:r>
          </w:p>
        </w:tc>
        <w:tc>
          <w:tcPr>
            <w:tcW w:w="1790" w:type="dxa"/>
          </w:tcPr>
          <w:p>
            <w:pPr>
              <w:ind w:right="205" w:firstLine="360"/>
              <w:jc w:val="center"/>
              <w:rPr>
                <w:rFonts w:ascii="GHEA Grapalat" w:hAnsi="GHEA Grapalat" w:cs="Sylfaen"/>
                <w:b/>
                <w:color w:val="000000" w:themeColor="text1"/>
                <w:lang w:val="hy-AM"/>
              </w:rPr>
            </w:pPr>
            <w:r>
              <w:rPr>
                <w:rFonts w:ascii="GHEA Grapalat" w:hAnsi="GHEA Grapalat" w:cs="Arial"/>
                <w:color w:val="000000" w:themeColor="text1"/>
                <w:lang w:val="hy-AM" w:eastAsia="ru-RU"/>
              </w:rPr>
              <w:t>Чувствительный</w:t>
            </w:r>
          </w:p>
        </w:tc>
        <w:tc>
          <w:tcPr>
            <w:tcW w:w="2612" w:type="dxa"/>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Аудит соответствия и эффективности</w:t>
            </w:r>
          </w:p>
        </w:tc>
        <w:tc>
          <w:tcPr>
            <w:tcW w:w="1478"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15</w:t>
            </w:r>
          </w:p>
        </w:tc>
      </w:tr>
      <w:tr>
        <w:trPr>
          <w:trHeight w:val="24"/>
        </w:trPr>
        <w:tc>
          <w:tcPr>
            <w:tcW w:w="895" w:type="dxa"/>
            <w:tcBorders>
              <w:bottom w:val="single" w:sz="4" w:space="0" w:color="auto"/>
            </w:tcBorders>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 xml:space="preserve">9 </w:t>
            </w:r>
            <w:r>
              <w:rPr>
                <w:rFonts w:ascii="Cambria Math" w:hAnsi="Cambria Math" w:cs="Cambria Math"/>
                <w:color w:val="000000" w:themeColor="text1"/>
                <w:lang w:val="hy-AM"/>
              </w:rPr>
              <w:t>․</w:t>
            </w:r>
          </w:p>
        </w:tc>
        <w:tc>
          <w:tcPr>
            <w:tcW w:w="3070" w:type="dxa"/>
            <w:tcBorders>
              <w:bottom w:val="single" w:sz="4" w:space="0" w:color="auto"/>
            </w:tcBorders>
          </w:tcPr>
          <w:p>
            <w:pPr>
              <w:ind w:right="205" w:firstLine="261"/>
              <w:jc w:val="center"/>
              <w:rPr>
                <w:rFonts w:ascii="GHEA Grapalat" w:hAnsi="GHEA Grapalat" w:cs="Arial"/>
                <w:color w:val="000000" w:themeColor="text1"/>
                <w:lang w:val="hy-AM" w:eastAsia="ru-RU"/>
              </w:rPr>
            </w:pPr>
            <w:r>
              <w:rPr>
                <w:rFonts w:ascii="GHEA Grapalat" w:hAnsi="GHEA Grapalat"/>
                <w:lang w:val="hy-AM" w:eastAsia="ru-RU"/>
              </w:rPr>
              <w:t xml:space="preserve">Круглосуточный специализированный </w:t>
            </w:r>
            <w:r>
              <w:rPr>
                <w:rFonts w:ascii="GHEA Grapalat" w:hAnsi="GHEA Grapalat"/>
                <w:lang w:val="hy-AM" w:eastAsia="ru-RU"/>
              </w:rPr>
              <w:lastRenderedPageBreak/>
              <w:t>центр медицинской помощи "Дзорак" ГНКО</w:t>
            </w:r>
          </w:p>
        </w:tc>
        <w:tc>
          <w:tcPr>
            <w:tcW w:w="1790" w:type="dxa"/>
            <w:tcBorders>
              <w:bottom w:val="single" w:sz="4" w:space="0" w:color="auto"/>
            </w:tcBorders>
          </w:tcPr>
          <w:p>
            <w:pPr>
              <w:ind w:right="205" w:firstLine="360"/>
              <w:jc w:val="center"/>
              <w:rPr>
                <w:rFonts w:ascii="GHEA Grapalat" w:hAnsi="GHEA Grapalat"/>
                <w:color w:val="000000" w:themeColor="text1"/>
                <w:lang w:val="hy-AM"/>
              </w:rPr>
            </w:pPr>
          </w:p>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lastRenderedPageBreak/>
              <w:t>Чувствительный</w:t>
            </w:r>
          </w:p>
        </w:tc>
        <w:tc>
          <w:tcPr>
            <w:tcW w:w="2612" w:type="dxa"/>
            <w:tcBorders>
              <w:bottom w:val="single" w:sz="4" w:space="0" w:color="auto"/>
            </w:tcBorders>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lastRenderedPageBreak/>
              <w:t>Аудит соответствия и эффективности</w:t>
            </w:r>
          </w:p>
        </w:tc>
        <w:tc>
          <w:tcPr>
            <w:tcW w:w="1478" w:type="dxa"/>
            <w:tcBorders>
              <w:bottom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Borders>
              <w:bottom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15</w:t>
            </w:r>
          </w:p>
        </w:tc>
      </w:tr>
      <w:tr>
        <w:trPr>
          <w:trHeight w:val="24"/>
        </w:trPr>
        <w:tc>
          <w:tcPr>
            <w:tcW w:w="895" w:type="dxa"/>
            <w:tcBorders>
              <w:bottom w:val="single" w:sz="4" w:space="0" w:color="auto"/>
            </w:tcBorders>
          </w:tcPr>
          <w:p>
            <w:pPr>
              <w:ind w:right="205" w:firstLine="157"/>
              <w:rPr>
                <w:rFonts w:ascii="GHEA Grapalat" w:hAnsi="GHEA Grapalat" w:cs="Sylfaen"/>
                <w:color w:val="000000" w:themeColor="text1"/>
                <w:lang w:val="hy-AM"/>
              </w:rPr>
            </w:pPr>
            <w:r>
              <w:rPr>
                <w:rFonts w:ascii="GHEA Grapalat" w:hAnsi="GHEA Grapalat" w:cs="Sylfaen"/>
                <w:color w:val="000000" w:themeColor="text1"/>
                <w:lang w:val="hy-AM"/>
              </w:rPr>
              <w:lastRenderedPageBreak/>
              <w:t>10</w:t>
            </w:r>
          </w:p>
        </w:tc>
        <w:tc>
          <w:tcPr>
            <w:tcW w:w="3070" w:type="dxa"/>
            <w:tcBorders>
              <w:bottom w:val="single" w:sz="4" w:space="0" w:color="auto"/>
            </w:tcBorders>
          </w:tcPr>
          <w:p>
            <w:pPr>
              <w:ind w:right="205" w:firstLine="261"/>
              <w:jc w:val="center"/>
              <w:rPr>
                <w:rFonts w:ascii="GHEA Grapalat" w:hAnsi="GHEA Grapalat" w:cs="Sylfaen"/>
                <w:color w:val="000000" w:themeColor="text1"/>
                <w:lang w:val="hy-AM"/>
              </w:rPr>
            </w:pPr>
            <w:r>
              <w:rPr>
                <w:rFonts w:ascii="GHEA Grapalat" w:hAnsi="GHEA Grapalat" w:cs="Sylfaen"/>
                <w:lang w:val="de-DE"/>
              </w:rPr>
              <w:t>Гюмрийский «Дом ребенка» ГНКО</w:t>
            </w:r>
          </w:p>
        </w:tc>
        <w:tc>
          <w:tcPr>
            <w:tcW w:w="1790" w:type="dxa"/>
            <w:tcBorders>
              <w:bottom w:val="single" w:sz="4" w:space="0" w:color="auto"/>
            </w:tcBorders>
          </w:tcPr>
          <w:p>
            <w:pPr>
              <w:ind w:right="205" w:firstLine="360"/>
              <w:jc w:val="center"/>
              <w:rPr>
                <w:rFonts w:ascii="GHEA Grapalat" w:hAnsi="GHEA Grapalat"/>
                <w:color w:val="000000" w:themeColor="text1"/>
                <w:lang w:val="hy-AM"/>
              </w:rPr>
            </w:pPr>
          </w:p>
          <w:p>
            <w:pPr>
              <w:ind w:right="205" w:firstLine="360"/>
              <w:jc w:val="center"/>
              <w:rPr>
                <w:rFonts w:ascii="GHEA Grapalat" w:hAnsi="GHEA Grapalat" w:cs="Arial"/>
                <w:color w:val="000000" w:themeColor="text1"/>
                <w:lang w:val="hy-AM" w:eastAsia="ru-RU"/>
              </w:rPr>
            </w:pPr>
            <w:r>
              <w:rPr>
                <w:rFonts w:ascii="GHEA Grapalat" w:hAnsi="GHEA Grapalat"/>
                <w:color w:val="000000" w:themeColor="text1"/>
                <w:lang w:val="hy-AM"/>
              </w:rPr>
              <w:t>Середина</w:t>
            </w:r>
          </w:p>
        </w:tc>
        <w:tc>
          <w:tcPr>
            <w:tcW w:w="2612" w:type="dxa"/>
            <w:tcBorders>
              <w:bottom w:val="single" w:sz="4" w:space="0" w:color="auto"/>
            </w:tcBorders>
          </w:tcPr>
          <w:p>
            <w:pPr>
              <w:ind w:right="205"/>
              <w:jc w:val="center"/>
              <w:rPr>
                <w:rFonts w:ascii="GHEA Grapalat" w:hAnsi="GHEA Grapalat"/>
                <w:color w:val="000000" w:themeColor="text1"/>
                <w:lang w:val="hy-AM"/>
              </w:rPr>
            </w:pPr>
            <w:r>
              <w:rPr>
                <w:rFonts w:ascii="GHEA Grapalat" w:hAnsi="GHEA Grapalat" w:cs="Sylfaen"/>
                <w:color w:val="000000" w:themeColor="text1"/>
                <w:lang w:val="hy-AM"/>
              </w:rPr>
              <w:t>Аудит соответствия и эффективности</w:t>
            </w:r>
          </w:p>
        </w:tc>
        <w:tc>
          <w:tcPr>
            <w:tcW w:w="1478" w:type="dxa"/>
            <w:tcBorders>
              <w:bottom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Borders>
              <w:bottom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15</w:t>
            </w:r>
          </w:p>
        </w:tc>
      </w:tr>
      <w:tr>
        <w:trPr>
          <w:trHeight w:val="24"/>
        </w:trPr>
        <w:tc>
          <w:tcPr>
            <w:tcW w:w="895" w:type="dxa"/>
            <w:tcBorders>
              <w:top w:val="single" w:sz="4" w:space="0" w:color="auto"/>
              <w:left w:val="single" w:sz="4" w:space="0" w:color="auto"/>
              <w:bottom w:val="single" w:sz="4" w:space="0" w:color="auto"/>
              <w:right w:val="single" w:sz="4" w:space="0" w:color="auto"/>
            </w:tcBorders>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 xml:space="preserve">11 </w:t>
            </w:r>
            <w:r>
              <w:rPr>
                <w:rFonts w:ascii="Cambria Math" w:hAnsi="Cambria Math" w:cs="Cambria Math"/>
                <w:color w:val="000000" w:themeColor="text1"/>
                <w:lang w:val="hy-AM"/>
              </w:rPr>
              <w:t>․</w:t>
            </w:r>
          </w:p>
        </w:tc>
        <w:tc>
          <w:tcPr>
            <w:tcW w:w="3070" w:type="dxa"/>
            <w:tcBorders>
              <w:top w:val="single" w:sz="4" w:space="0" w:color="auto"/>
              <w:left w:val="single" w:sz="4" w:space="0" w:color="auto"/>
              <w:bottom w:val="single" w:sz="4" w:space="0" w:color="auto"/>
              <w:right w:val="single" w:sz="4" w:space="0" w:color="auto"/>
            </w:tcBorders>
          </w:tcPr>
          <w:p>
            <w:pPr>
              <w:ind w:right="205" w:firstLine="261"/>
              <w:jc w:val="center"/>
              <w:rPr>
                <w:rFonts w:ascii="GHEA Grapalat" w:hAnsi="GHEA Grapalat" w:cs="Sylfaen"/>
                <w:color w:val="000000" w:themeColor="text1"/>
                <w:lang w:val="hy-AM"/>
              </w:rPr>
            </w:pPr>
            <w:r>
              <w:rPr>
                <w:rFonts w:ascii="GHEA Grapalat" w:hAnsi="GHEA Grapalat" w:cs="Sylfaen"/>
                <w:color w:val="000000" w:themeColor="text1"/>
                <w:lang w:val="hy-AM"/>
              </w:rPr>
              <w:t>Процесс покупки</w:t>
            </w:r>
          </w:p>
        </w:tc>
        <w:tc>
          <w:tcPr>
            <w:tcW w:w="1790"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rPr>
            </w:pPr>
          </w:p>
          <w:p>
            <w:pPr>
              <w:ind w:right="205" w:firstLine="360"/>
              <w:jc w:val="center"/>
              <w:rPr>
                <w:rFonts w:ascii="GHEA Grapalat" w:hAnsi="GHEA Grapalat"/>
                <w:color w:val="000000" w:themeColor="text1"/>
              </w:rPr>
            </w:pPr>
            <w:proofErr w:type="spellStart"/>
            <w:r>
              <w:rPr>
                <w:rFonts w:ascii="GHEA Grapalat" w:hAnsi="GHEA Grapalat"/>
                <w:color w:val="000000" w:themeColor="text1"/>
              </w:rPr>
              <w:t>Высокий</w:t>
            </w:r>
            <w:proofErr w:type="spellEnd"/>
          </w:p>
        </w:tc>
        <w:tc>
          <w:tcPr>
            <w:tcW w:w="2612" w:type="dxa"/>
            <w:tcBorders>
              <w:top w:val="single" w:sz="4" w:space="0" w:color="auto"/>
              <w:left w:val="single" w:sz="4" w:space="0" w:color="auto"/>
              <w:bottom w:val="single" w:sz="4" w:space="0" w:color="auto"/>
              <w:right w:val="single" w:sz="4" w:space="0" w:color="auto"/>
            </w:tcBorders>
          </w:tcPr>
          <w:p>
            <w:pPr>
              <w:ind w:right="205"/>
              <w:jc w:val="center"/>
              <w:rPr>
                <w:rFonts w:ascii="GHEA Grapalat" w:hAnsi="GHEA Grapalat" w:cs="Sylfaen"/>
                <w:color w:val="000000" w:themeColor="text1"/>
              </w:rPr>
            </w:pPr>
            <w:r>
              <w:rPr>
                <w:rFonts w:ascii="GHEA Grapalat" w:hAnsi="GHEA Grapalat" w:cs="Sylfaen"/>
                <w:color w:val="000000" w:themeColor="text1"/>
                <w:lang w:val="hy-AM"/>
              </w:rPr>
              <w:t>Аудит соответствия и эффективности</w:t>
            </w:r>
          </w:p>
        </w:tc>
        <w:tc>
          <w:tcPr>
            <w:tcW w:w="1478"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rPr>
            </w:pPr>
            <w:r>
              <w:rPr>
                <w:rFonts w:ascii="GHEA Grapalat" w:hAnsi="GHEA Grapalat"/>
                <w:color w:val="000000" w:themeColor="text1"/>
              </w:rPr>
              <w:t>3</w:t>
            </w:r>
          </w:p>
        </w:tc>
        <w:tc>
          <w:tcPr>
            <w:tcW w:w="1339"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rPr>
            </w:pPr>
            <w:r>
              <w:rPr>
                <w:rFonts w:ascii="GHEA Grapalat" w:hAnsi="GHEA Grapalat"/>
                <w:color w:val="000000" w:themeColor="text1"/>
                <w:lang w:val="hy-AM"/>
              </w:rPr>
              <w:t xml:space="preserve">1 </w:t>
            </w:r>
            <w:r>
              <w:rPr>
                <w:rFonts w:ascii="GHEA Grapalat" w:hAnsi="GHEA Grapalat"/>
                <w:color w:val="000000" w:themeColor="text1"/>
              </w:rPr>
              <w:t>0</w:t>
            </w:r>
          </w:p>
        </w:tc>
      </w:tr>
      <w:tr>
        <w:trPr>
          <w:trHeight w:val="24"/>
        </w:trPr>
        <w:tc>
          <w:tcPr>
            <w:tcW w:w="895" w:type="dxa"/>
            <w:tcBorders>
              <w:top w:val="single" w:sz="4" w:space="0" w:color="auto"/>
              <w:left w:val="single" w:sz="4" w:space="0" w:color="auto"/>
              <w:bottom w:val="single" w:sz="4" w:space="0" w:color="auto"/>
              <w:right w:val="single" w:sz="4" w:space="0" w:color="auto"/>
            </w:tcBorders>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12</w:t>
            </w:r>
          </w:p>
        </w:tc>
        <w:tc>
          <w:tcPr>
            <w:tcW w:w="3070" w:type="dxa"/>
            <w:tcBorders>
              <w:top w:val="single" w:sz="4" w:space="0" w:color="auto"/>
              <w:left w:val="single" w:sz="4" w:space="0" w:color="auto"/>
              <w:bottom w:val="single" w:sz="4" w:space="0" w:color="auto"/>
              <w:right w:val="single" w:sz="4" w:space="0" w:color="auto"/>
            </w:tcBorders>
          </w:tcPr>
          <w:p>
            <w:pPr>
              <w:ind w:right="205" w:firstLine="261"/>
              <w:jc w:val="center"/>
              <w:rPr>
                <w:rFonts w:ascii="GHEA Grapalat" w:hAnsi="GHEA Grapalat" w:cs="Sylfaen"/>
                <w:color w:val="000000" w:themeColor="text1"/>
                <w:lang w:val="hy-AM"/>
              </w:rPr>
            </w:pPr>
            <w:r>
              <w:rPr>
                <w:rFonts w:ascii="GHEA Grapalat" w:hAnsi="GHEA Grapalat" w:cs="Sylfaen"/>
                <w:lang w:val="de-DE"/>
              </w:rPr>
              <w:t>Услуги социальной и психологической реабилитации для жертв торговли людьми, эксплуатации и сексуального насилия</w:t>
            </w:r>
          </w:p>
        </w:tc>
        <w:tc>
          <w:tcPr>
            <w:tcW w:w="1790"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Середина</w:t>
            </w:r>
          </w:p>
        </w:tc>
        <w:tc>
          <w:tcPr>
            <w:tcW w:w="2612" w:type="dxa"/>
            <w:tcBorders>
              <w:top w:val="single" w:sz="4" w:space="0" w:color="auto"/>
              <w:left w:val="single" w:sz="4" w:space="0" w:color="auto"/>
              <w:bottom w:val="single" w:sz="4" w:space="0" w:color="auto"/>
              <w:right w:val="single" w:sz="4" w:space="0" w:color="auto"/>
            </w:tcBorders>
          </w:tcPr>
          <w:p>
            <w:pPr>
              <w:ind w:right="205"/>
              <w:jc w:val="center"/>
              <w:rPr>
                <w:rFonts w:ascii="GHEA Grapalat" w:hAnsi="GHEA Grapalat" w:cs="Sylfaen"/>
                <w:color w:val="000000" w:themeColor="text1"/>
                <w:lang w:val="hy-AM"/>
              </w:rPr>
            </w:pPr>
            <w:r>
              <w:rPr>
                <w:rFonts w:ascii="GHEA Grapalat" w:hAnsi="GHEA Grapalat" w:cs="Sylfaen"/>
                <w:color w:val="000000" w:themeColor="text1"/>
                <w:lang w:val="hy-AM"/>
              </w:rPr>
              <w:t>Аудит соответствия и эффективности</w:t>
            </w:r>
          </w:p>
        </w:tc>
        <w:tc>
          <w:tcPr>
            <w:tcW w:w="1478"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4</w:t>
            </w:r>
          </w:p>
        </w:tc>
        <w:tc>
          <w:tcPr>
            <w:tcW w:w="1339"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15</w:t>
            </w:r>
          </w:p>
        </w:tc>
      </w:tr>
      <w:tr>
        <w:trPr>
          <w:trHeight w:val="24"/>
        </w:trPr>
        <w:tc>
          <w:tcPr>
            <w:tcW w:w="895" w:type="dxa"/>
            <w:tcBorders>
              <w:top w:val="single" w:sz="4" w:space="0" w:color="auto"/>
              <w:left w:val="single" w:sz="4" w:space="0" w:color="auto"/>
              <w:bottom w:val="single" w:sz="4" w:space="0" w:color="auto"/>
              <w:right w:val="single" w:sz="4" w:space="0" w:color="auto"/>
            </w:tcBorders>
          </w:tcPr>
          <w:p>
            <w:pPr>
              <w:ind w:right="205" w:firstLine="157"/>
              <w:jc w:val="center"/>
              <w:rPr>
                <w:rFonts w:ascii="GHEA Grapalat" w:hAnsi="GHEA Grapalat" w:cs="Sylfaen"/>
                <w:color w:val="000000" w:themeColor="text1"/>
                <w:lang w:val="hy-AM"/>
              </w:rPr>
            </w:pPr>
            <w:r>
              <w:rPr>
                <w:rFonts w:ascii="GHEA Grapalat" w:hAnsi="GHEA Grapalat" w:cs="Sylfaen"/>
                <w:color w:val="000000" w:themeColor="text1"/>
                <w:lang w:val="hy-AM"/>
              </w:rPr>
              <w:t>13</w:t>
            </w:r>
          </w:p>
        </w:tc>
        <w:tc>
          <w:tcPr>
            <w:tcW w:w="3070" w:type="dxa"/>
            <w:tcBorders>
              <w:top w:val="single" w:sz="4" w:space="0" w:color="auto"/>
              <w:left w:val="single" w:sz="4" w:space="0" w:color="auto"/>
              <w:bottom w:val="single" w:sz="4" w:space="0" w:color="auto"/>
              <w:right w:val="single" w:sz="4" w:space="0" w:color="auto"/>
            </w:tcBorders>
          </w:tcPr>
          <w:p>
            <w:pPr>
              <w:ind w:right="205" w:firstLine="261"/>
              <w:jc w:val="center"/>
              <w:rPr>
                <w:rFonts w:ascii="GHEA Grapalat" w:hAnsi="GHEA Grapalat" w:cs="Sylfaen"/>
                <w:lang w:val="de-DE"/>
              </w:rPr>
            </w:pPr>
            <w:r>
              <w:rPr>
                <w:rFonts w:ascii="GHEA Grapalat" w:hAnsi="GHEA Grapalat"/>
                <w:lang w:val="hy-AM" w:eastAsia="ru-RU"/>
              </w:rPr>
              <w:t>Департамент экономики</w:t>
            </w:r>
          </w:p>
        </w:tc>
        <w:tc>
          <w:tcPr>
            <w:tcW w:w="1790"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Низкий</w:t>
            </w:r>
          </w:p>
        </w:tc>
        <w:tc>
          <w:tcPr>
            <w:tcW w:w="2612" w:type="dxa"/>
            <w:tcBorders>
              <w:top w:val="single" w:sz="4" w:space="0" w:color="auto"/>
              <w:left w:val="single" w:sz="4" w:space="0" w:color="auto"/>
              <w:bottom w:val="single" w:sz="4" w:space="0" w:color="auto"/>
              <w:right w:val="single" w:sz="4" w:space="0" w:color="auto"/>
            </w:tcBorders>
          </w:tcPr>
          <w:p>
            <w:pPr>
              <w:ind w:right="205"/>
              <w:jc w:val="center"/>
              <w:rPr>
                <w:rFonts w:ascii="GHEA Grapalat" w:hAnsi="GHEA Grapalat" w:cs="Sylfaen"/>
                <w:color w:val="000000" w:themeColor="text1"/>
                <w:lang w:val="hy-AM"/>
              </w:rPr>
            </w:pPr>
            <w:r>
              <w:rPr>
                <w:rFonts w:ascii="GHEA Grapalat" w:hAnsi="GHEA Grapalat" w:cs="Sylfaen"/>
                <w:color w:val="000000" w:themeColor="text1"/>
                <w:lang w:val="hy-AM"/>
              </w:rPr>
              <w:t>Аудит соответствия и эффективности</w:t>
            </w:r>
          </w:p>
        </w:tc>
        <w:tc>
          <w:tcPr>
            <w:tcW w:w="1478"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3</w:t>
            </w:r>
          </w:p>
        </w:tc>
        <w:tc>
          <w:tcPr>
            <w:tcW w:w="1339" w:type="dxa"/>
            <w:tcBorders>
              <w:top w:val="single" w:sz="4" w:space="0" w:color="auto"/>
              <w:left w:val="single" w:sz="4" w:space="0" w:color="auto"/>
              <w:bottom w:val="single" w:sz="4" w:space="0" w:color="auto"/>
              <w:right w:val="single" w:sz="4" w:space="0" w:color="auto"/>
            </w:tcBorders>
          </w:tcPr>
          <w:p>
            <w:pPr>
              <w:ind w:right="205" w:firstLine="360"/>
              <w:jc w:val="center"/>
              <w:rPr>
                <w:rFonts w:ascii="GHEA Grapalat" w:hAnsi="GHEA Grapalat"/>
                <w:color w:val="000000" w:themeColor="text1"/>
                <w:lang w:val="hy-AM"/>
              </w:rPr>
            </w:pPr>
            <w:r>
              <w:rPr>
                <w:rFonts w:ascii="GHEA Grapalat" w:hAnsi="GHEA Grapalat"/>
                <w:color w:val="000000" w:themeColor="text1"/>
                <w:lang w:val="hy-AM"/>
              </w:rPr>
              <w:t>10</w:t>
            </w:r>
          </w:p>
        </w:tc>
      </w:tr>
    </w:tbl>
    <w:p>
      <w:pPr>
        <w:rPr>
          <w:rFonts w:ascii="GHEA Grapalat" w:hAnsi="GHEA Grapalat"/>
          <w:lang w:val="hy-AM"/>
        </w:rPr>
      </w:pPr>
    </w:p>
    <w:p>
      <w:pPr>
        <w:rPr>
          <w:rFonts w:ascii="GHEA Grapalat" w:hAnsi="GHEA Grapalat"/>
          <w:lang w:val="hy-AM"/>
        </w:rPr>
      </w:pPr>
    </w:p>
    <w:sectPr>
      <w:pgSz w:w="12240" w:h="15840" w:code="1"/>
      <w:pgMar w:top="15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957F7-53D1-44AD-8C24-D1EEB28E2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pPr>
    <w:rPr>
      <w:rFonts w:ascii="Times Armenian" w:hAnsi="Times Armenian"/>
      <w:lang w:val="x-none" w:eastAsia="ru-RU"/>
    </w:rPr>
  </w:style>
  <w:style w:type="character" w:customStyle="1" w:styleId="ListParagraphChar">
    <w:name w:val="List Paragraph Char"/>
    <w:link w:val="ListParagraph"/>
    <w:uiPriority w:val="34"/>
    <w:locked/>
    <w:rPr>
      <w:rFonts w:ascii="Times Armenian" w:eastAsia="Times New Roman" w:hAnsi="Times Armenian" w:cs="Times New Roman"/>
      <w:sz w:val="24"/>
      <w:szCs w:val="24"/>
      <w:lang w:val="x-none" w:eastAsia="ru-RU"/>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5" Type="http://schemas.openxmlformats.org/officeDocument/2006/relationships/hyperlink" Target="javascript:voi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30</Pages>
  <Words>6131</Words>
  <Characters>34952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mailyan</dc:creator>
  <cp:keywords>https://mul2-mss.gov.am/tasks/1924186/oneclick?token=c1e8fa4e9cad9e79bc6a5f76c47a5d5a</cp:keywords>
  <dc:description/>
  <cp:lastModifiedBy>kristine mailyan</cp:lastModifiedBy>
  <cp:revision>77</cp:revision>
  <cp:lastPrinted>2021-08-13T05:06:00Z</cp:lastPrinted>
  <dcterms:created xsi:type="dcterms:W3CDTF">2021-03-15T06:23:00Z</dcterms:created>
  <dcterms:modified xsi:type="dcterms:W3CDTF">2025-02-04T05:02:00Z</dcterms:modified>
</cp:coreProperties>
</file>