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материалов для нужд Ведуского муниципалитета Араратской области РА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ՀՀԱՄՎՀ-ԷԱՃԱՊՁԲ-25/02</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материалов для нужд Ведуского муниципалитета Араратской области РА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материалов для нужд Ведуского муниципалитета Араратской области РА на 2025 год</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материалов для нужд Ведуского муниципалитета Араратской области РА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ՀՀԱՄՎՀ-ԷԱՃԱՊՁԲ-25/02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ՀՀԱՄՎՀ-ԷԱՃԱՊՁԲ-25/02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4, цвет белый, поверхность гладкая, не мятая. Предназначен для письма, набора текста и офисной работы. Размеры 210*297мм, белизна не менее 165%, непрозрачность не менее 110%.
Класс А + , плотность 80г/м2. ИСО90-01:2015, ИСО 14001. 2015, ИСО 45001. 2018 по стандарту. Количество листов в каждой коробке заводской упаковки – 500 штук. Вес одной коробки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потребительских форматов, немелованная. Предназначен для письма, печати, двустороннего копирования и офисной работы. Формат: А3 (297 х 420 мм), белизна: по ISO 11475 161 %, яркость: по ISO 2470-2 110 %, плотность бумаги на 1 м2: 70 г, гладкость поверхности: по ISO 8791-2, 160 мл. /мин., непрозрачность - 91%, срок архивного хранения - не менее 150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прозрачной полимерной пленки, для бумаги формата А4, с возможностью крепления застежек, толщиной не менее 40 мкм. Информация о количестве и толщине должна быть указана на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