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ԶՄՄԱԲԿ-ԷԱՃԱՊՁԲ-28/25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ստուգման սարք (տիմպանոմետր)՝ նախատեսված է միջին ականջի սկրինինգի թեստեր իրականացնելու համար, սարքով պետք է հնարավոր լինի  իրականացնել ավտոմատ տիմպանոմետրիայի փորձարկում՝ 226 Հց պրոբի տոնով, մուտք – ելք՝ մաքուր տոն – ԱԿ: Սարքը միաժամանակ պետք է հնարավոր լինի միացնել լիցքավորման ապարատին և տվյալները փոխանցելու համար կցել համակարգչին։ Պետք է ունենա համապատասխան լիցենզիաներ, որոնք թույլ կտան իրականացնել աէկոստիկ ռեֆլեքսների փորձարկում և սկրինինգի մաքուր տոնով աուդիոմետրիա: Սարքն պետք է ունենա գունավոր, գրաֆիկական դիպչող էկրան՝ թափանցիկ ինտերֆեյսով, չափը 2.8”, ռեզոլյուցիան 240x320 պիքսել: Պետք է ունենա հիշողության մեջ մինչև 50 հետազոտության տվյալների պահպանման հնարավորություն:  Մարտկոցը պետք է ապահովի առնվազն 4 ժամ շարունակական աշխատանք: Քաշը ոչ ավել քան 350գ: 
Լրակազմը պետք է ներառի բոլոր անհրաժեշտ լրացուցիչ պարագաները, որոնք անհրաժեշտ են լիարժեք գործունեության համար՝ USB մալուխ, բժշկական դասի էներգիայի մատակարարման բլոկ,  Inventis Maestro ծրագրաշար, USB միացման հիշողություն և այլն: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ֆունկցիայի թեստերի վերլուծիչ / սպիրոմետր՝ հիվանդների մոտ թոքերի ֆունկցիայի հետ կապված պարամետրերը ուսումնասիրելու համար:
Չափման պարամետրեր. (ոչ պակաս քան)
Ուժեղացված կենսական թոքերի ծավալը՝ (FVC) ՝ FVC, FEV1, PEF, (FEV1 / FVC), FEF25, FEF50, FEF75, FEF2575, FEV1 / VC, FEV6, FEV1 / FEV6, ELA, FET, EVOL, FIVC, FIV1, FIV1 / FIVC, PIF, MVV
Կենսական ծավալը՝ (VC / SVC). VC, IC, ERV, IRV, EVC, IVC, TV, VE, RR, tI, tE, TV / tI, tI / ttot
Առավելագույն օդափոխման ծավալը (MVV)՝ MVV
Ծավալի միջակայքը՝ ոչ պակաս քան ±10լ
Ծավալի ճշգրտությունը՝ ոչ ավելի քան ±3% 
Հոսքի միջակայքը` ոչ պակաս քան ±15 լ /վ
Հոսքի ճշգրտությունը՝ ոչ ավելի քան ±5%
Ոչ պակաս, քան 7 "գունավոր LCD սենսորային էկրանի առկայություն, կոճակները կարող են աշխատել սենսորային էկրանի հետ միասին
Էկրանը պետք է ցույց տա իրական ժամանակում շնչառության ալիքի ձևը. ոչ պակաս քան հոսքի-ծավալի օղակ և ծավալ-ժամանակի կորի գծապատկեր
Ներկառուցված ջերմային տպիչի առկայություն
Ավտոմատ ուղղման գործառույթի առկայություն, այն պետք է փոխհատուցի շրջակա միջավայրի տարբերությունների ազդեցությունը
Փորձարկման ժամանակի և շրջակա միջավայրի ջերմաստիճանի ցուցադրում
Ստուգաչափման գործառույթի առկայություն, որը կապահովի չափման ճշգրտությունը
Տվյալների պահեստի առկայություն
Թոքերի տարիքի գնահատման գործառույթի առկայություն
Ներկառուցված մարտկոցի առկայություն
Էլեկտրասնուցումը՝ 220 Վ, 50/60 Հց:
Լրակազմը պետք է ներառի բոլոր անհրաժեշտ լրացուցիչ պարագաները, որոնք անհրաժեշտ են լիարժեք գործունեության համար՝ քթի փակիչ, բերանի շնչափող (ոչ պակաս քան 10 հատ մեծահասակների և 10 հատ երեխաների համար), USB մալուխ, տպագրման թուղթ և այլն: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24 ամիս:
Որակի վկայականներ (առկայություն). ISO13485 կամ համարժեք:
CE Mark (Directive 93/42/EEC) կամ FDA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Ուրոֆլոումետր, ապարատը պետք է պարամետրերը չափի և հաշվետվությունը տպի ավտոմատ կերպով: Պետք է ունենա տվյալների պահպանման հնարավորություն: Դատարկման ծավալի չափման միջակայքը 0-1000մլ, դատարկման ժամանակի չափման միջակայքը 0-300 վայրկյան, մեզի հոսքի արագության չափման միջակայքը 0-50մլ/վ, սնուցումը 200Վ, 50Հց: Լրակազմը պետք է ներառի բոլոր անհրաժեշտ լրացուցիչ պարագաները, որոնք անհրաժեշտ են լիարժեք գործունեության համար՝ աթոռ, ծրագրային ապահովում և այլն: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 ոչ պակաս, քան 12 ամիս: Վկայագրեր և ստանդարտներ առնվազն ISO-13485, 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Դիաթերմոկոագուլյատոր՝ մոնո-բիպոլյար, բիպոլյար ունելիների, անջատվող չեզոք էլեկտրոդների օգտագործման հնարավորությամբ , վերջին օգտագործված կարգավորումների հիշողությամբ: Պետք է ունենա սնուցման ակտիվացում ոտնակով և/կամ բռնակով, թվային կարգավորում և ելքային հզորության նշում, ակուստիկ ցուցիչի ինտենսիվության կարգավորում:
Առավելագույն CUT ելքային հզորությունը՝ 80 Վտ – 250 Օմ,
Առավելագույն BLEND ելքային հզորությունը՝ 60 Վտ – 250 Օմ,
Առավելագույն FORCED COAG ելքային հզորությունը՝ 50 W – 150 Օմ,
Առավելագույն SOFT COAG ելքային հզորությունը՝ 40 W – 100 Օմ,
Առավելագույն բիպոլյար ելքային հզորությունը՝ 30 Վտ – 100 Օմ
Աշխատանքային հաճախականությունը՝ 600 կՀց
Էլեկտրասնուցումը՝ 220 Վ, 50/60 Հց:
Լրակազմը պետք է ներառի բոլոր անհրաժեշտ լրացուցիչ պարագաները, որոնք անհրաժեշտ են լիարժեք գործունեության համար: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հետազոտությունների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