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Телескопическая автоматическая дверь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Телескопическая автоматическая дверь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Телескопическая автоматическая дверь</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Телескопическая автоматическая дверь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автоматическая дверь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«ՍՈՒՐԲ ԱՍՏՎԱԾԱՄԱՅՐ» ԲԿ ՓԲԸ -Ի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10</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автоматическая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"Телескопическая автоматическая дверь с 2 подвижными створками, ширина каждой створки 950 мм, высота 2400 мм. 
Направляющая балка с автоматическим управлением 2400 мм. 
Стекло: прозрачное не менее 6 мм, закаленное.
Установка выполняется участником.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настоящего договора, в течение 21 календарного дня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