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603AA" w14:textId="77777777" w:rsidR="00737F61" w:rsidRPr="00555523" w:rsidRDefault="00737F61" w:rsidP="00737F61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bookmarkStart w:id="0" w:name="_GoBack"/>
      <w:r w:rsidRPr="00555523">
        <w:rPr>
          <w:rStyle w:val="a3"/>
          <w:rFonts w:ascii="GHEA Grapalat" w:hAnsi="GHEA Grapalat" w:cs="Calibri"/>
          <w:color w:val="000000"/>
          <w:lang w:val="hy-AM"/>
        </w:rPr>
        <w:t>Աղ</w:t>
      </w:r>
    </w:p>
    <w:p w14:paraId="36776581" w14:textId="77777777" w:rsidR="00737F61" w:rsidRPr="00555523" w:rsidRDefault="00555523" w:rsidP="00737F61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hyperlink r:id="rId4" w:tgtFrame="_blank" w:history="1"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Մանրկերակրիաղ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յոդացված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>; «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ԿերակրիաղԷքստրաևբարձրտեսակի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>,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սպիտակ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բյուրեղայինսորուննյութ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չիթույլատրվումկողմնակիմեխանիկականխառնուկներիառկայության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խոնավությանզանգվածայինմասը՝ոչավել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0,1 %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էկստրաաղիհամարևոչավել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0,7%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բարձրտեսակի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փաթեթավորումը՝գործարանային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քաշը՝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1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կիլոգրամ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: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ՀՍՏ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239-2005</w:t>
        </w:r>
        <w:r w:rsidR="00737F61" w:rsidRPr="00555523">
          <w:rPr>
            <w:rStyle w:val="a3"/>
            <w:rFonts w:ascii="GHEA Grapalat" w:hAnsi="GHEA Grapalat" w:cs="Tahoma"/>
            <w:color w:val="000000"/>
            <w:lang w:val="hy-AM"/>
          </w:rPr>
          <w:t>։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Անվտանգությունըևմակնշումը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-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սննդամթերքըպետքէենթարկվածլինիհամապատասխանությանգնահատման՝համաձայն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«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Սննդամթերքիանվտանգությանմասին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>»</w:t>
        </w:r>
        <w:r w:rsidR="00737F61" w:rsidRPr="00555523">
          <w:rPr>
            <w:rStyle w:val="a3"/>
            <w:rFonts w:ascii="GHEA Grapalat" w:hAnsi="GHEA Grapalat" w:cs="Calibri"/>
            <w:color w:val="000000"/>
            <w:lang w:val="hy-AM"/>
          </w:rPr>
          <w:t xml:space="preserve"> (TPTC 021/2011)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և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«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Սննդամթերքիմակնշմանմասին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» (TPTC 022/2011)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տեխնիկականկանոնակարգերովսահմանվածընթացակարգերինևմակնշվածլինիԵվրասիականտնտեսականմիությանտարածքումշրջանառությանմիասնականնշանով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>, «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Սննդամթերքիանվտանգությանմասին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»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ՀՀօրենքի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9-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րդհոդվածի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: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ՄատակարարմանկոնկրետօրըորոշվումէԳնորդիկողմիցնախնական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(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ոչշուտքան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 3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աշխատանքայինօրառաջ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)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պատվերիմիջոցով՝էլ</w:t>
        </w:r>
        <w:r w:rsidR="00737F61" w:rsidRPr="00555523">
          <w:rPr>
            <w:rStyle w:val="a3"/>
            <w:rFonts w:ascii="GHEA Grapalat" w:hAnsi="GHEA Grapalat" w:cs="Arial"/>
            <w:color w:val="000000"/>
            <w:lang w:val="hy-AM"/>
          </w:rPr>
          <w:t xml:space="preserve">. </w:t>
        </w:r>
        <w:r w:rsidR="00737F61" w:rsidRPr="00555523">
          <w:rPr>
            <w:rStyle w:val="a3"/>
            <w:rFonts w:ascii="GHEA Grapalat" w:hAnsi="GHEA Grapalat" w:cs="Sylfaen"/>
            <w:color w:val="000000"/>
            <w:lang w:val="hy-AM"/>
          </w:rPr>
          <w:t>փոստովկամհեռախոսազանգով</w:t>
        </w:r>
        <w:r w:rsidR="00737F61" w:rsidRPr="00555523">
          <w:rPr>
            <w:rStyle w:val="a3"/>
            <w:rFonts w:ascii="GHEA Grapalat" w:hAnsi="GHEA Grapalat" w:cs="Calibri"/>
            <w:color w:val="000000"/>
            <w:lang w:val="hy-AM"/>
          </w:rPr>
          <w:t>:</w:t>
        </w:r>
      </w:hyperlink>
    </w:p>
    <w:p w14:paraId="1D7DCA0D" w14:textId="77777777" w:rsidR="00737F61" w:rsidRPr="00555523" w:rsidRDefault="00737F61" w:rsidP="00737F61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555523">
        <w:rPr>
          <w:rStyle w:val="a3"/>
          <w:rFonts w:ascii="GHEA Grapalat" w:hAnsi="GHEA Grapalat" w:cs="Calibri"/>
          <w:color w:val="000000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7DBD136F" w14:textId="77777777" w:rsidR="00DF4E99" w:rsidRDefault="00555523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D78"/>
    <w:rsid w:val="00555523"/>
    <w:rsid w:val="006A477F"/>
    <w:rsid w:val="00737F61"/>
    <w:rsid w:val="00747D78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AF84"/>
  <w15:docId w15:val="{3A3FC25B-BAC5-4643-874E-36E01BB7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7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2025-02-04T06:41:00Z</dcterms:created>
  <dcterms:modified xsi:type="dcterms:W3CDTF">2025-02-04T13:07:00Z</dcterms:modified>
</cp:coreProperties>
</file>