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p w14:paraId="0560BD5A" w14:textId="77777777" w:rsidR="00E07E7F" w:rsidRPr="00E07E7F" w:rsidRDefault="003910E9" w:rsidP="003910E9">
      <w:pPr>
        <w:framePr w:w="9586" w:h="7186" w:hRule="exact" w:hSpace="180" w:wrap="around" w:vAnchor="page" w:hAnchor="page" w:x="1059" w:y="721"/>
        <w:jc w:val="center"/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</w:pPr>
      <w:r>
        <w:fldChar w:fldCharType="begin"/>
      </w:r>
      <w:r>
        <w:instrText xml:space="preserve"> HYPERLINK "http://www.procurement.am/" \t "_blank" </w:instrText>
      </w:r>
      <w:r>
        <w:fldChar w:fldCharType="separate"/>
      </w:r>
      <w:r w:rsidR="00E07E7F" w:rsidRPr="00E07E7F"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  <w:t>0</w:t>
      </w:r>
      <w:r w:rsidR="00E07E7F"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  <w:t>2</w:t>
      </w:r>
      <w:r w:rsidR="00E07E7F" w:rsidRPr="00E07E7F"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  <w:t xml:space="preserve"> 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կարգ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 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Ձու սեղանի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, տեղական կամ համարժեք 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տեսակավորված ըստ մեկ ձվի զանգվածի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>,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պահպանմանժամկետը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` 25 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օր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, 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ՀՍՏ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 182-2012</w:t>
      </w:r>
      <w:r w:rsidR="00E07E7F" w:rsidRPr="00E07E7F">
        <w:rPr>
          <w:rStyle w:val="a3"/>
          <w:rFonts w:ascii="Tahoma" w:hAnsi="Tahoma" w:cs="Tahoma"/>
          <w:color w:val="000000"/>
          <w:sz w:val="28"/>
          <w:szCs w:val="28"/>
          <w:lang w:val="hy-AM"/>
        </w:rPr>
        <w:t>։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Անվտանգությունըևմակնշումը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>-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սննդամթերքըպետքէենթարկվածլինիհամապատասխանությանգնահատման՝համաձայն</w:t>
      </w:r>
      <w:r w:rsidR="00E07E7F" w:rsidRPr="00E07E7F"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  <w:t xml:space="preserve"> «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Սննդամթերքիանվտանգությանմասին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» (TPTC 021/2011) 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և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 «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Սննդամթերքիմակնշմանմասին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» (TPTC 022/2011) 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տեխնիկականկանոնակարգերովսահմանվածընթացակարգերինևմակնշվածլինիԵվրասիականտնտեսականմիությանտարածքումշրջանառությանմիասնականնշանով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, 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ՀՀկառավարության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 2011 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թվականիսեպտեմբերի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 29-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ի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 «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Ձվիևձվամթերքիտեխնիկականկանոնակարգըհաստատելումասինե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 N 1438-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Նորոշմանև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 «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Սննդամթերքիանվտանգությանմասին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» 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ՀՀօրենքի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 9-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րդհոդվածի։Մակնշումը՝ընթեռնելի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>: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Պիտանելիությանմնացորդայինժամկետըոչպակասքան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 90 %: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ՄատակարարմանկոնկրետօրըորոշվումէԳնորդիկողմիցնախնական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 (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ոչշուտքան</w:t>
      </w:r>
      <w:r w:rsidR="00E07E7F" w:rsidRPr="00E07E7F"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  <w:t xml:space="preserve"> 3 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աշխատանքայինօրառաջ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) 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պատվերիմիջոցով՝էլ</w:t>
      </w:r>
      <w:r w:rsidR="00E07E7F" w:rsidRPr="00E07E7F">
        <w:rPr>
          <w:rStyle w:val="a3"/>
          <w:rFonts w:ascii="Arial" w:hAnsi="Arial" w:cs="Arial"/>
          <w:color w:val="000000"/>
          <w:sz w:val="28"/>
          <w:szCs w:val="28"/>
          <w:lang w:val="hy-AM"/>
        </w:rPr>
        <w:t xml:space="preserve">. </w:t>
      </w:r>
      <w:r w:rsidR="00E07E7F" w:rsidRPr="00E07E7F">
        <w:rPr>
          <w:rStyle w:val="a3"/>
          <w:rFonts w:ascii="Sylfaen" w:hAnsi="Sylfaen" w:cs="Sylfaen"/>
          <w:color w:val="000000"/>
          <w:sz w:val="28"/>
          <w:szCs w:val="28"/>
          <w:lang w:val="hy-AM"/>
        </w:rPr>
        <w:t>փոստովկամհեռախոսազանգով</w:t>
      </w:r>
      <w:r w:rsidR="00E07E7F" w:rsidRPr="00E07E7F"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  <w:t>:</w:t>
      </w:r>
      <w:r>
        <w:rPr>
          <w:rStyle w:val="a3"/>
          <w:rFonts w:ascii="GHEA Grapalat" w:hAnsi="GHEA Grapalat" w:cs="Calibri"/>
          <w:color w:val="000000"/>
          <w:sz w:val="28"/>
          <w:szCs w:val="28"/>
          <w:lang w:val="hy-AM"/>
        </w:rPr>
        <w:fldChar w:fldCharType="end"/>
      </w:r>
    </w:p>
    <w:p w14:paraId="6B4CD8E8" w14:textId="77777777" w:rsidR="00E07E7F" w:rsidRPr="00E07E7F" w:rsidRDefault="00E07E7F" w:rsidP="003910E9">
      <w:pPr>
        <w:framePr w:w="9586" w:h="7186" w:hRule="exact" w:hSpace="180" w:wrap="around" w:vAnchor="page" w:hAnchor="page" w:x="1059" w:y="721"/>
        <w:jc w:val="center"/>
        <w:rPr>
          <w:rStyle w:val="a3"/>
          <w:rFonts w:cs="Calibri"/>
          <w:color w:val="000000"/>
          <w:sz w:val="28"/>
          <w:szCs w:val="28"/>
          <w:lang w:val="hy-AM"/>
        </w:rPr>
      </w:pPr>
      <w:r w:rsidRPr="00E07E7F">
        <w:rPr>
          <w:rStyle w:val="a3"/>
          <w:rFonts w:cs="Calibri"/>
          <w:color w:val="000000"/>
          <w:sz w:val="28"/>
          <w:szCs w:val="28"/>
          <w:lang w:val="hy-AM"/>
        </w:rPr>
        <w:t>Մատակարարը պարտավոր է մատակարարված ապրանքը հասցնել մինչև պահեստ։</w:t>
      </w:r>
    </w:p>
    <w:p w14:paraId="7E2A2F1B" w14:textId="77777777" w:rsidR="00E07E7F" w:rsidRPr="00E07E7F" w:rsidRDefault="00E07E7F" w:rsidP="00E07E7F">
      <w:pPr>
        <w:rPr>
          <w:color w:val="2C2D2E"/>
          <w:sz w:val="28"/>
          <w:szCs w:val="28"/>
          <w:lang w:val="hy-AM" w:eastAsia="ru-RU"/>
        </w:rPr>
      </w:pPr>
    </w:p>
    <w:p w14:paraId="335E19EB" w14:textId="77777777" w:rsidR="00DF4E99" w:rsidRPr="00E07E7F" w:rsidRDefault="00E07E7F" w:rsidP="00E07E7F">
      <w:pPr>
        <w:rPr>
          <w:sz w:val="28"/>
          <w:szCs w:val="28"/>
          <w:lang w:val="hy-AM"/>
        </w:rPr>
      </w:pPr>
      <w:r w:rsidRPr="00E07E7F">
        <w:rPr>
          <w:rStyle w:val="a3"/>
          <w:rFonts w:cs="Calibri"/>
          <w:color w:val="000000"/>
          <w:sz w:val="28"/>
          <w:szCs w:val="28"/>
          <w:lang w:val="hy-AM"/>
        </w:rPr>
        <w:t>Յուրաքանչյուր ՀՈԱԿ –ի մատակարար աշխատելու է տվյալ ՀՈԱԿ-ի հետ կնքված պայմանգրով և վճարումը կատարվելու է տվյալ ՀՈԱԿ-ի վճարման ժամանակացույցով ըստ յուրաքանչյուր ՀՈԱԿ-ի պայմանագրի։ Առաքումը կատարվելու է ըստ պատվիրատուի հետ նախօրոք կազմված ցանկի։</w:t>
      </w:r>
    </w:p>
    <w:bookmarkEnd w:id="0"/>
    <w:p w14:paraId="3C1510A2" w14:textId="77777777" w:rsidR="00E07E7F" w:rsidRPr="00E07E7F" w:rsidRDefault="00E07E7F">
      <w:pPr>
        <w:rPr>
          <w:sz w:val="28"/>
          <w:szCs w:val="28"/>
          <w:lang w:val="hy-AM"/>
        </w:rPr>
      </w:pPr>
    </w:p>
    <w:sectPr w:rsidR="00E07E7F" w:rsidRPr="00E07E7F" w:rsidSect="003910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A36"/>
    <w:rsid w:val="003910E9"/>
    <w:rsid w:val="006A477F"/>
    <w:rsid w:val="006B3A36"/>
    <w:rsid w:val="00A526E6"/>
    <w:rsid w:val="00E0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84AC3"/>
  <w15:docId w15:val="{8E496F3E-1ED1-4D6F-9792-0750193C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07E7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E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88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66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7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5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4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0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2025-02-04T06:06:00Z</dcterms:created>
  <dcterms:modified xsi:type="dcterms:W3CDTF">2025-02-04T12:46:00Z</dcterms:modified>
</cp:coreProperties>
</file>