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603BB" w14:textId="77777777" w:rsidR="003B0DF2" w:rsidRPr="00927624" w:rsidRDefault="003B0DF2" w:rsidP="003B0DF2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 w:rsidRPr="00927624">
        <w:rPr>
          <w:rFonts w:ascii="GHEA Grapalat" w:hAnsi="GHEA Grapalat"/>
          <w:b/>
          <w:sz w:val="24"/>
          <w:szCs w:val="24"/>
          <w:lang w:val="hy-AM"/>
        </w:rPr>
        <w:t>բուլկի</w:t>
      </w:r>
    </w:p>
    <w:p w14:paraId="7099E96F" w14:textId="77777777" w:rsidR="003B0DF2" w:rsidRPr="00927624" w:rsidRDefault="003B0DF2" w:rsidP="003B0DF2">
      <w:pPr>
        <w:rPr>
          <w:rFonts w:ascii="GHEA Grapalat" w:hAnsi="GHEA Grapalat" w:cs="Arial"/>
          <w:b/>
          <w:color w:val="000000"/>
          <w:sz w:val="24"/>
          <w:szCs w:val="24"/>
          <w:lang w:val="hy-AM"/>
        </w:rPr>
      </w:pPr>
      <w:r w:rsidRPr="00927624">
        <w:rPr>
          <w:rFonts w:ascii="GHEA Grapalat" w:hAnsi="GHEA Grapalat" w:cs="Arial"/>
          <w:b/>
          <w:color w:val="000000"/>
          <w:sz w:val="24"/>
          <w:szCs w:val="24"/>
          <w:lang w:val="hy-AM"/>
        </w:rPr>
        <w:t>1 հատը՝առնվազն  80 գրամ; Թարմ, քաղցր համով, չամիչով բարձր տեսակի ալյուրից, փաթեթավորումը՝ սննդի համար նախատեսված պոլիէթիլենային թաղանթե տոպրակով։ Պահպանման և արտադրման ժամկետները նշված փաթեթավորման վրա: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Մաքսային միության հանձնաժողովի 2011 թվականի դեկտեմբերի 9-ի</w:t>
      </w:r>
      <w:r w:rsidRPr="00927624">
        <w:rPr>
          <w:rStyle w:val="a3"/>
          <w:rFonts w:ascii="GHEA Grapalat" w:hAnsi="GHEA Grapalat" w:cs="Calibri"/>
          <w:b/>
          <w:color w:val="000000"/>
          <w:sz w:val="24"/>
          <w:szCs w:val="24"/>
          <w:u w:val="none"/>
          <w:lang w:val="hy-AM"/>
        </w:rPr>
        <w:t>Մատակարարը պարտավոր է մատակարարված ապրանքը հասցնել մինչև պահեստ։Յուրաքանչյուր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5B9D329F" w14:textId="77777777" w:rsidR="00DF4E99" w:rsidRPr="003B0DF2" w:rsidRDefault="00927624" w:rsidP="003B0DF2">
      <w:pPr>
        <w:rPr>
          <w:b/>
        </w:rPr>
      </w:pPr>
    </w:p>
    <w:sectPr w:rsidR="00DF4E99" w:rsidRPr="003B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C43"/>
    <w:rsid w:val="003B0DF2"/>
    <w:rsid w:val="00587C43"/>
    <w:rsid w:val="006A477F"/>
    <w:rsid w:val="00927624"/>
    <w:rsid w:val="00A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F960"/>
  <w15:docId w15:val="{82AC5089-F856-4FBD-99A8-6182CEEB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B0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2025-02-04T06:13:00Z</dcterms:created>
  <dcterms:modified xsi:type="dcterms:W3CDTF">2025-02-04T12:47:00Z</dcterms:modified>
</cp:coreProperties>
</file>