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имущества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Խառատյան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liana.kharatyan@escs.am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ՀՀԿԳՄՍՆԷԱՃԱՊՁԲ-25/24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имущества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имущества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ՀՀԿԳՄՍՆԷԱՃԱՊՁԲ-25/24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liana.kharatyan@escs.am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имущества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покрытия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396.71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3.9979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409.96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2025.02.19.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ՀՀԿԳՄՍՆԷԱՃԱՊՁԲ-25/24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ՀՀԿԳՄՍՆԷԱՃԱՊՁԲ-25/24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"ՀՀԿԳՄՍՆԷԱՃԱՊՁԲ-25/24"*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"ՀՀԿԳՄՍՆԷԱՃԱՊՁԲ-25/24"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ՀՀԿԳՄՍՆԷԱՃԱՊՁԲ-25/24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"ՀՀԿԳՄՍՆԷԱՃԱՊՁԲ-25/24"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ՀՀԿԳՄՍՆԷԱՃԱՊՁԲ-25/24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Театральное кресло Премиум или Люкс класса.  Ширина кресла не более 540 мм, высота не более 1000 мм не менее 900мм.  Группа токсичности продуктов горения Т3 по ГОСТ 12.1.044. Обивочный материал типа «Жаккард» или аналогичный. Поверхностная плотность не менее 450-550 г/м2, толщина не менее 2,6 мм. И должен соответствовать требованиям В3 (ГОСТ 30402), Д2, Т3 (ГОСТ 12.1.044), РП3 (ГОСТ 51032). Мягкий элемент кресла должен состоять из   формованного пенополиуретана плотностью  45- 60 кг/м3 с интегрированным литым полипропиленовым каркасом высокой прочности . Обивка кресла должна быть выполнена из высококачественной  мебельной ткани синего цвета. Боковины кресла должны быть выполнены из  литого полипропиленового каркаса высокой прочности или деревянными, и должен комплектоватся полипропиленовыми или деревянными накладками с текстурным рисунком.  Подлокотники кресла должны быть выполнены из  литого полипропилена с текстурой под массив дерева или деревянными.  Защита спинки кресла должна быть выполнена из литого полипропилена толщиной не менее 2мм или деревянной. Повороойтный механизм сиденья  кресла должен иметь пружинный поворотный механизм выполненный из стали. В комплекте с установкой кресел в зале.  
Производитель Театр-Мебель, фирма Театр-Мебель Модель Баграт или аналог, Производитель Еврозал, фирма Еврозал Модель Северная Венеция или аналог, Производитель RATCO, фирма RATCO Модель Robustino Luxe RL-01 или аналог, Производитель Furnitrade, фирма Furnitrade Модель Краун.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Театральное специальное ковролиновое покрытие с степенью износа и горючести. Класс износостойкости не менне 33. Способ производства Тафтинг или аналогичное. Состав ворса 100% полиамид. Вид ворса Петлевой. Ширина рулона от 4 м. Вес ворса не менее  520 г/кв.м. Основа Искусственный джут. Высота ворса не более 2,5 мм. Класс пожарной безопасности не выше КМ2. Назначение покрытия Коммерческое. Фиксация покрытия выполняется с помощью клея, предназначенного для фиксации специальных покрытий. Также включено выравнивание пола во всех необходимых частях холла жидким напольным покрытием для покрытия ковровым покрытием: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Абовяна., 7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Абовяна., 7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