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ՀՀԿԳՄՍՆԷԱՃԱՊՁԲ-25/26</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թատրոնի բեմի լուսային համակարգի (Ստանիսլավսկու անվան պետական ռուսական դրամատիկական թատրոն)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ՀՀԿԳՄՍՆԷԱՃԱՊՁԲ-25/26</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թատրոնի բեմի լուսային համակարգի (Ստանիսլավսկու անվան պետական ռուսական դրամատիկական թատրոն)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թատրոնի բեմի լուսային համակարգի (Ստանիսլավսկու անվան պետական ռուսական դրամատիկական թատրոն)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ՀՀԿԳՄՍՆԷԱՃԱՊՁԲ-25/26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թատրոնի բեմի լուսային համակարգի (Ստանիսլավսկու անվան պետական ռուսական դրամատիկական թատրոն)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լուսային համակարգ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14:00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396.71</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3.9979</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409.96</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2025.02.18.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ՀՀԿԳՄՍՆԷԱՃԱՊՁԲ-25/26</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ՀՀԿԳՄՍՆԷԱՃԱՊՁԲ-25/26</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ՀՀԿԳՄՍՆԷԱՃԱՊՁԲ-25/26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ՀՀԿԳՄՍՆԷԱՃԱՊՁԲ-25/26</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«ՀՀԿԳՄՍՆԷԱՃԱՊՁԲ-25/26»*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ՀՀԿԳՄՍՆԷԱՃԱՊՁԲ-25/26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«ՀՀԿԳՄՍՆԷԱՃԱՊՁԲ-25/26»*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«ՀՀԿԳՄՍՆԷԱՃԱՊՁԲ-25/26»*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ՀՀԿԳՄՍՆԷԱՃԱՊՁԲ-25/26*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ՀՀԿԳՄՍՆԷԱՃԱՊՁԲ-25/26</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«ՀՀԿԳՄՍՆԷԱՃԱՊՁԲ-25/26»*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ՀՀԿԳՄՍՆԷԱՃԱՊՁԲ-25/26*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առնվազն մեկ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31521700/501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թատրոնի բեմի լուսային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Կոնստանտին Ստանիսլավսկու անվան ռուսական պետական դրամատիկական թատրոնի դահլիճի համար Լուսային սարքավորումները բաղկացած են՝ Բազմաֆունկցիոնալ բաժանարարներից, Ցանցային անջատիչներից, LED լուսարձակներից, լուսային սարքավորումների կառավարման վահանակներից, DMX վերահսկվող թվային պատի անջատիչներից, Անջատիչ կառավարման վահանակներից, Լույսի կառավարման վահանակներից, Քամու գեներատորներից, Ծխի շարժական սսարքերից, Բարձր հզորությամբ շարժական ծխի գեներատորներից, Shuko տեսակի վարդակներից, Արտաքին մոնտաժային տուփերից, Shuko տեսակի ռետինե խրոցներից, Մալուխներից, Ֆերմայի խողովակների ամրացման սեղմակներից, Թվային մալուխներից, Խրոցակներից։ Նշված ապրանքները պետք է համապատասխանեն կից ներկայացված տեխնիկական առաջադրանք-1-ին: Լրակազմում նշված ապրանքների երաշխիքային ժամկետները՝ առնվազն 1 տարի: Լրակազմում նշված ապրանքների համար պարտադիր է ապրանքն արտադրողից կամ վերջինիս ներկայացուցչից երաշխիքային նամակի կամ համապատասխանության սերտիֆիկատի առկայությունը: Լրակազմում նշված ապրանքները պետք է լինեն նոր` չօգտագործված: Լրակազմի տեղափոխումը, բեռնաթափումը, տեղադրումը, մոնտաժումը, ծրագրավորումը, փորձարկումը, համակարգի գործարկումը, ինչպես նաև համապատասխան մասնագետի հրահանգավորումը իրականացվում է Մատակարարի կողմից: Համակարգում ներառվող սարքերը, սարքավորումները, մասերը և պարագաները (ներառյալ դրանցում կիրառվող տեխնոլոգիաները) պետք է լինեն համատեղելի միմյանց հետ, ինչպես նաև լինեն տարածված, այսինքն՝ տեխնոլոգիաները կիրառվեն 2-ից ավել արտադրողների կողմից։ Ապրանքների տեղաբաշխումը, լարանցումները և գունային լուծումները պետք է համաձայնեցնել Գնորդի հետ՝ կապված տարածքի առանձնահատկություններից։ Մասնակիցը կարող է տեղում տեսնել և ծանոթանալ տեղաբաշխման, լարանցումների և գունային լուծումների հնարավոր տարբերակներին։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Աբովյան փող., 7 շենք, «Կ. Ստանիսլավսկու անվան ռուսական պետական դրամատիկական թատրոն» ՊՈԱԿ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100-րդ օրացուցային օրը, բացառությամբ այն դեպքի, երբ ընտրված մասնակիցը համաձայնում է ապրանքը մատակարարել ավելի կարճ ժամկետում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