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Мартуни Гегаркуникская область,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Община Мартуни, Шаумяна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детских садов Мартунской общинной администрации Гегаркуникского марза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Կարեն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martunignum@mail.ru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094263449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Мартуни Гегаркуникская область,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ԳՄՄՀ-ԷԱՃԱՊՁԲ-25/01</w:t>
      </w:r>
      <w:r>
        <w:rPr>
          <w:rFonts w:ascii="Calibri" w:hAnsi="Calibri" w:cstheme="minorHAnsi"/>
          <w:i/>
        </w:rPr>
        <w:br/>
      </w:r>
      <w:r>
        <w:rPr>
          <w:rFonts w:ascii="Calibri" w:hAnsi="Calibri" w:cstheme="minorHAnsi"/>
          <w:szCs w:val="20"/>
          <w:lang w:val="af-ZA"/>
        </w:rPr>
        <w:t>2025.02.05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Мартуни Гегаркуникская область,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Мартуни Гегаркуникская область,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детских садов Мартунской общинной администрации Гегаркуникского марза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детских садов Мартунской общинной администрации Гегаркуникского марза на 2025 год</w:t>
      </w:r>
      <w:r>
        <w:rPr>
          <w:rFonts w:ascii="Calibri" w:hAnsi="Calibri" w:cstheme="minorHAnsi"/>
          <w:b/>
          <w:lang w:val="ru-RU"/>
        </w:rPr>
        <w:t xml:space="preserve">ДЛЯ НУЖД  </w:t>
      </w:r>
      <w:r>
        <w:rPr>
          <w:rFonts w:ascii="Calibri" w:hAnsi="Calibri" w:cstheme="minorHAnsi"/>
          <w:b/>
          <w:sz w:val="24"/>
          <w:szCs w:val="24"/>
          <w:lang w:val="af-ZA"/>
        </w:rPr>
        <w:t>Муниципалитет Мартуни Гегаркуникская область,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ԳՄՄՀ-ԷԱՃԱՊՁԲ-25/01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martunignum@mail.ru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детских садов Мартунской общинной администрации Гегаркуникского марза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замороженное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393.75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405.55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ԳՄՄՀ-ԷԱՃԱՊՁԲ-25/01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Мартуни Гегаркуникская область,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"ԳՄՄՀ-ԷԱՃԱՊՁԲ-25/01"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"ԳՄՄՀ-ԷԱՃԱՊՁԲ-25/01"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Мартуни Гегаркуникская область, РА*(далее — Заказчик) процедуре закупок под кодом ԳՄՄՀ-ԷԱՃԱՊՁԲ-25/01*.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Мартуни Гегаркуникская область,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ԳՄՄՀ-ԷԱՃԱՊՁԲ-25/01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тип, не обмороженный, без повреждений, размеры: округло-овальный, разделенный на две половины, диаметр не менее 10 см (70% от общей массы), 20%: 8 см, 10%: 6 см. Чистота сорт: от 90% не менее. Клубни должны быть обычного для данного ботанического сорта вида, целые, твердые, практически чистые. Наличие нижеперечисленных внешних и внутренних дефектов, влияющих на внешний вид, качество, сохранность и внешний вид продукции (АСТ 354-2013 или эквивалентных показателям настоящего стандарта «О безопасности пищевой продукции» (ТС 021/2011). , Комиссия Таможенного союза Согласно техническому регламенту «Безопасность упаковки» от 16 августа 2011 года. Доставка осуществляется не реже одного раза в неделю, в установленное время детских садов. Срок исправления неточности – 1 день. Определяется конкретная дата доставки. Покупателем заранее (не ранее за 3 рабочих дня) по заказу: по электронной почте Доставка осуществляется за счет поставщика по указанным адресам пищевых продуктов, утвержденным приказом руководителя Государственной службы безопасности пищевых продуктов Республики Армения №, транспортными средствами. Указанный объем каждого продукта является максимальным. может быть уменьшен Покупателем с учетом фактического количества детей, посещающих детский сад в течение года, и финансирование будет осуществляться по фактическому объему поставленной продукции.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замороженное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Окорок куриный, Аракс или эквивалент Гетамей, Спитакская птицефабрика Чистые, бескровные, без посторонних запахов, герметично упакованные в пищевую тару, от 900 грамм до 1,1 кг, без массы воды.
Безопасность, упаковка и маркировка согласно Решению Комиссии Таможенного союза от 9 декабря 2011 года № 880 «О безопасности пищевой продукции» (МУ ТС N 021/2011), «Пищевая продукция и ее маркировка», утвержденному Решением № 881 Комиссией Таможенного союза от 9 декабря 2011 года в части» (ММ ТС 022/2011) Таможенного союза технические регламенты «О безопасности упаковки» (ТУ МУ 005/2011), технические регламенты Евразийского экономического союза «О безопасности мяса птицы и продуктов, полученных от его переработки» (ТС ЕАЭС 051/2021), принятые Комиссией решение № 769 от 16 августа 2011 г.
Доставка осуществляется не реже одного раза в неделю, день доставки определяется Покупателем заранее (не ранее, чем за 3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01.07.2025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сады Мартунинского сообщества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01.07.2025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замороженное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