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Աճեմյանի անվան պետական դրամատիկական թատրոնի բեմի լուսային համակարգի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Աճեմյանի անվան պետական դրամատիկական թատրոնի բեմի լուսային համակարգի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Աճեմյանի անվան պետական դրամատիկական թատրոնի բեմի լուսային համակարգի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Աճեմյանի անվան պետական դրամատիկական թատրոնի բեմի լուսային համակարգի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93221897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396.58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4.0404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413.36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«ՀՀԿԳՄՍՆԷԱՃԱՊՁԲ-25/19»*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/հայտի ապահովում/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համակարգը բաղկացած է կառավարվող վահանակից, տարբեր տեսակի հզորության լեդ լուսատու սարքերից, ամրակային դետալներից և փոխարկիչներից, մալուխներից և պարագաներից: Նշված լույսի ղեկավարման վահանակը, տարբեր տեսակի հզորության լեդ լուսատու սարքերը, ամրակային դետալները և փոխարկիչները, մալուխները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Տեխնիկական առաջադրանք-1-ը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Սայաթ-Նովայի փող., 4 շենք, «Գյումրու Վարդան Աճեմյանի անվան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