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ԱԲՀ-ԷԱՃԱՊՁԲ-25/20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վառելիք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էթանոլ-5 %, իզոպրոպիլ սպիրտ-10%, իզոբուտիլ սպիրտ-10%,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Պատվիրատուների կողմից ներկայացված քանակներն առավելագույնն է և այն կարող է նվազեցվել վերջիններիս կողմից: Վճարումը կատարվում է փաստացի մատակարարված ապրանքի մասով: 
Մատակարարումը համայնքի կողմից մշակված կտրոնային սիստեմով։ Կտրոնները պետք է գործածական լինեն 2025թ.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պրոպան, տրանսպորտային միջոցների ներքին այրման շարժիչներում որպես վառելիք օգտագործելու համար: Գլամոթի լիցքավորման ընթացքում բնական գազի ավելցուկ ճնշումը պետք է համապատասխանի ԱԳԼՃԿ-ի և լիցքավորվող գազագլանոթային միջոցների տեխնիկական պայմաններին և չպետք է գերազանցի 1,2 ՄՊա ճնշման սահմանը, գլանոթ լիցքավորվող գազի ջերմաստիճանից ոչ ավել քան  15°C: Պայմանական նշանները՝ «Վախենում է կրակից»: Անվտանգությունը՝ հրավտանգ, պայթունավտանգ։ Գազի լիցքավորումը՝ Աբովյան համայնքի վարչական տարածքում գտնվող գազալցակայանների միջոցով։ Մատակարարման պայմաններ՝ մատակարարումը կտրոններով։  Կտրոնները պետք է գործածական լինեն 2025թ.ընթացքում։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կողմերի միջև կնքվող պայմանագրով սահմանված ժամկետում, ըստ պատվիրատուի պահանջի, բայց ոչ ուշ, քան տվյալ տարվա մայիսի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կողմերի միջև կնքվող պայմանագրով սահմանված ժամկետում, ըստ պատվիրատուի պահանջի, բայց ոչ ուշ, քան տվյալ տարվա մայիսի 31-ը: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