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ԿՍՏ-ԷԱՃԱՊՁԲ-2025/2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Շիրակի մարզի Գյումրի քաղաքի համար կոմունալ սպասարկման տեխնիկաներ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ԿՍՏ-ԷԱՃԱՊՁԲ-2025/2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Շիրակի մարզի Գյումրի քաղաքի համար կոմունալ սպասարկման տեխնիկաներ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Շիրակի մարզի Գյումրի քաղաքի համար կոմունալ սպասարկման տեխնիկաներ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ԿՍՏ-ԷԱՃԱՊՁԲ-2025/2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Շիրակի մարզի Գյումրի քաղաքի համար կոմունալ սպասարկման տեխնիկաներ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Մինիամբարձիչ հրիչով, ավլող սարք համալրված բունկերով, ջրի տարայով և կողային հավելյալ խոզանակով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396.54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4.1315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ԿՍՏ-ԷԱՃԱՊՁԲ-2025/2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ԿՍՏ-ԷԱՃԱՊՁԲ-2025/2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ԿՍՏ-ԷԱՃԱՊՁԲ-2025/2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ԿՍՏ-ԷԱՃԱՊՁԲ-2025/2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«ԿՍՏ-ԷԱՃԱՊՁԲ-2025/2»*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տարածքային զարգացման հիմնադրամ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ԿՍՏ-ԷԱՃԱՊՁԲ-2025/2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«ԿՍՏ-ԷԱՃԱՊՁԲ-2025/2»*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«ԿՍՏ-ԷԱՃԱՊՁԲ-2025/2»*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ԿՍՏ-ԷԱՃԱՊՁԲ-2025/2*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ԿՍՏ-ԷԱՃԱՊՁԲ-2025/2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«ԿՍՏ-ԷԱՃԱՊՁԲ-2025/2»*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ԿՍՏ-ԷԱՃԱՊՁԲ-2025/2*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Մինիամբարձիչ հրիչով, ավլող սարք համալրված բունկերով, ջրի տարայով և կողային հավելյալ խոզանակով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120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