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2025.02.13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3</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имущества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Խառատյան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liana.kharatyan@escs.am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ՀՀԿԳՄՍՆԷԱՃԱՊՁԲ-25/24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2025.02.13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3</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имущества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имущества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ՀՀԿԳՄՍՆԷԱՃԱՊՁԲ-25/24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liana.kharatyan@escs.am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имущества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покрытия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396.56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4.2196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411.39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2025.02.26.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ՀՀԿԳՄՍՆԷԱՃԱՊՁԲ-25/24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ՀՀԿԳՄՍՆԷԱՃԱՊՁԲ-25/24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ՀՀԿԳՄՍՆԷԱՃԱՊՁԲ-25/24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ՀՀԿԳՄՍՆԷԱՃԱՊՁԲ-25/24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"ՀՀԿԳՄՍՆԷԱՃԱՊՁԲ-25/24"*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"ՀՀԿԳՄՍՆԷԱՃԱՊՁԲ-25/24"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ՀՀԿԳՄՍՆԷԱՃԱՊՁԲ-25/24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"ՀՀԿԳՄՍՆԷԱՃԱՊՁԲ-25/24"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ՀՀԿԳՄՍՆԷԱՃԱՊՁԲ-25/24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Театральное кресло Премиум или Люкс класса.  Ширина кресла не более 540 мм, высота не более 1000 мм не менее 900мм.  Группа токсичности продуктов горения Т3 по ГОСТ 12.1.044. Обивочный материал типа «Жаккард» или аналогичный. Поверхностная плотность не менее 450-550 г/м2, толщина не менее 2,6 мм. И должен соответствовать требованиям В3 (ГОСТ 30402), Д2, Т3 (ГОСТ 12.1.044), РП3 (ГОСТ 51032). Мягкий элемент кресла должен состоять из   формованного пенополиуретана плотностью  45- 60 кг/м3 с интегрированным литым полипропиленовым каркасом высокой прочности . Обивка кресла должна быть выполнена из высококачественной  мебельной ткани синего цвета. Боковины кресла должны быть выполнены из  литого полипропиленового каркаса высокой прочности или деревянными, и должен комплектоватся полипропиленовыми или деревянными накладками с текстурным рисунком.  Подлокотники кресла должны быть выполнены из  литого полипропилена с текстурой под массив дерева или деревянными.  Защита спинки кресла должна быть выполнена из литого полипропилена толщиной не менее 2мм или деревянной. Повороойтный механизм сиденья  кресла должен иметь пружинный поворотный механизм выполненный из стали. В комплекте с установкой кресел в зале.  
Производитель Театр-Мебель, фирма Театр-Мебель Модель Багарт или аналог, Производитель Еврозал, фирма Еврозал Модель Северная Венеция или аналог, Производитель RATCO, фирма RATCO Модель Robustino Luxe RL-01 или аналог, Производитель Furnitrade, фирма Furnitrade Модель Краун.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покрытия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Театральное специальное ковролиновое покрытие с степенью износа и горючести. Класс износостойкости не менне 33. Способ производства Тафтинг или аналогичное. Состав ворса 100% полиамид. Вид ворса Петлевой. Ширина рулона от 4 м. Вес ворса не менее  520 г/кв.м. Основа Искусственный джут. Высота ворса не более 2,5 мм. Класс пожарной безопасности не выше КМ2. Назначение покрытия Коммерческое. Фиксация покрытия выполняется с помощью клея, предназначенного для фиксации специальных покрытий. Также включено выравнивание пола во всех необходимых частях холла жидким напольным покрытием для покрытия ковровым покрытием: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Абовяна., 7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Абовяна., 7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