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261"/>
        <w:gridCol w:w="851"/>
        <w:gridCol w:w="851"/>
        <w:gridCol w:w="991"/>
        <w:gridCol w:w="709"/>
        <w:gridCol w:w="1134"/>
        <w:gridCol w:w="1134"/>
        <w:gridCol w:w="2268"/>
      </w:tblGrid>
      <w:tr w:rsidR="00884AA2" w:rsidRPr="00257150" w14:paraId="344AE114" w14:textId="77777777" w:rsidTr="00884AA2">
        <w:trPr>
          <w:trHeight w:val="20"/>
        </w:trPr>
        <w:tc>
          <w:tcPr>
            <w:tcW w:w="16019" w:type="dxa"/>
            <w:gridSpan w:val="12"/>
            <w:shd w:val="clear" w:color="auto" w:fill="auto"/>
            <w:vAlign w:val="center"/>
          </w:tcPr>
          <w:p w14:paraId="7A0887B3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884AA2" w:rsidRPr="00257150" w14:paraId="1F5AA4C2" w14:textId="77777777" w:rsidTr="00884AA2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37A98A44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7E2A2FE9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337CFC59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E9C22A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մակիշը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ECAAB50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01ADEAD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1DD58AE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539FF023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9CC6254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70E514C4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884AA2" w:rsidRPr="00257150" w14:paraId="5BA3014C" w14:textId="77777777" w:rsidTr="00884AA2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736F5C33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1230F370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AF7BA2B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AE0374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AC72820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55B02D5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88697D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0F43BE86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4F0D38D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F09CE5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ABFBA68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2571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385F10FB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321B47EC" w14:textId="77777777" w:rsidR="00884AA2" w:rsidRPr="00257150" w:rsidRDefault="00884AA2" w:rsidP="005376D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26F70" w:rsidRPr="00257150" w14:paraId="0B0DF86B" w14:textId="77777777" w:rsidTr="00884AA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775B547" w14:textId="75A27476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9B81127" w14:textId="5B886979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32324900/501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76CD06" w14:textId="7D25178C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Հեռուստացույց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9A4406F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D48D9B0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Հեռուստացույց   տեսակը   LED, անկյունագիծը 32"դույմ, էկրանի կետայնությունը 1366x768, HD READY ,ձայնային հզորություն  առնվազն 2*6 Վտ, </w:t>
            </w:r>
            <w:r w:rsidRPr="0025715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տեսակը ոչ սմարթ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։ Կադրերի հաճախականությունը 50Հց, կոնտրաստի գործակից 3000:1։ Ընդունիչներ՝  DVB-T2, DVB-T, DVB-S2։ Մուտքեր ՝ առնվազն   HDMI՝ 2 հատ, օպտիկալ , USB մուտք՝   1 հատ։ Դիտման անկյուն  178º/178º։ Հոսանք (Վ/Հց)  100-240Վ/50-60Հց։ Պատին ամրացնելու հարմարանքը ներառյալ։ Երաշխիք 2 տարի։</w:t>
            </w:r>
          </w:p>
          <w:p w14:paraId="5ED3F60C" w14:textId="77777777" w:rsidR="00826F70" w:rsidRDefault="00826F70" w:rsidP="00826F70">
            <w:pPr>
              <w:jc w:val="center"/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Ապրանքի</w:t>
            </w:r>
            <w:r w:rsidRPr="0025715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չափսերը</w:t>
            </w:r>
            <w:r w:rsidRPr="0025715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  73.4x17.1x43.4 </w:t>
            </w:r>
            <w:r w:rsidRPr="0025715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սմ</w:t>
            </w:r>
            <w:r w:rsidRPr="0025715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առանց</w:t>
            </w:r>
            <w:r w:rsidRPr="0025715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տակդիր։</w:t>
            </w:r>
          </w:p>
          <w:p w14:paraId="47AF1663" w14:textId="77777777" w:rsidR="00826F70" w:rsidRPr="00257150" w:rsidRDefault="00826F70" w:rsidP="00826F70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1BF19234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</w:p>
          <w:p w14:paraId="1D829A94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70D065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0F7881D" w14:textId="028F7C5E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32D76B5" w14:textId="67820890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FE41C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4EBE4B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257150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257150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71EF6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A9B836F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826F70" w:rsidRPr="00257150" w14:paraId="67A3199E" w14:textId="77777777" w:rsidTr="00884AA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FFD21A" w14:textId="50336501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E2BEFE2" w14:textId="2422EDC2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39714200/501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9E9309" w14:textId="2D22AD36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Օդորակիչ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 մ/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քառ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տարածքի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C7B8341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9673D4A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Օդորակիչ պատի, սպլիտ համակարգով, աշխատանքային ռեժիմը՝ սառեցնող/ջեռուցող, հզորությունը  9000 BTU, որը նախատեսված է 30մ</w:t>
            </w:r>
            <w:r w:rsidRPr="00257150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 տարածքում ջերմաստիճանի ավտոմատ կարգավորման համար:Սպառվող հզորությունը  համապատասխանաբար  սառեցում / տաքացում  ռեժիմներում  առավելագույնը 775վտ/730վՎտ։ Սառցագենտ՝ R32: Օդի շրջանառությունը նվազագույնը 450մ³/ժ:Հոսանքը՝ 220-240Վ, 50-60 Հց: Էներգախնայողության դաս A։Աշխատանքային ջերմաստիճան  +43°C/-7°C։Թևիկների կառավարումը</w:t>
            </w:r>
          </w:p>
          <w:p w14:paraId="78A71047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առկա է։ Գույնը՝ սպիտակ։ Ներսի բլոկի չափսեր՝  70x25-26x19-20 սմ</w:t>
            </w:r>
          </w:p>
          <w:p w14:paraId="3C28702D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Լրացուցիչ պայմաններ՝</w:t>
            </w:r>
          </w:p>
          <w:p w14:paraId="766435E7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 `  1տարի:</w:t>
            </w:r>
          </w:p>
          <w:p w14:paraId="07FE73DA" w14:textId="77777777" w:rsidR="00826F70" w:rsidRPr="00257150" w:rsidRDefault="00826F70" w:rsidP="00826F70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048FBD65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6172E2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A80FB81" w14:textId="6559F0BC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13D4E91" w14:textId="55A2E5E2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FBEE30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D7549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257150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257150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96728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59B74A1D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826F70" w:rsidRPr="00257150" w14:paraId="4A01BA7C" w14:textId="77777777" w:rsidTr="00884AA2">
        <w:trPr>
          <w:cantSplit/>
          <w:trHeight w:val="6936"/>
        </w:trPr>
        <w:tc>
          <w:tcPr>
            <w:tcW w:w="989" w:type="dxa"/>
            <w:shd w:val="clear" w:color="auto" w:fill="auto"/>
            <w:vAlign w:val="center"/>
          </w:tcPr>
          <w:p w14:paraId="771AAF7E" w14:textId="29DD42E7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5CB6098" w14:textId="7B124D5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39714200/502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458FBE" w14:textId="64C4B842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Օդորակիչ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 մ/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քառ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տարածքի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5A854C5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5C90760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Օդորակիչ պատի, սպլիտ համակարգով, աշխատանքային ռեժիմը՝ սառեցնող/ջեռուցող, հզորությունը  18000 BTU, որը նախատեսված է 60մ</w:t>
            </w:r>
            <w:r w:rsidRPr="00257150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 տարածքում ջերմաստիճանի ավտոմատ կարգավորման համար:Սպառվող հզորությունը  համապատասխանաբար  սառեցում / տաքացում  ռեժիմներում  առավելագույնը 1554Վտ/1420Վտ։ Սառցագենտ՝ R32: Օդի շրջանառությունը նվազագույնը 800մ³/ժ:Հոսանքը՝ 220-240Վ, 50-60 Հց: Էներգախնայողության դաս A։Աշխատանքային ջերմաստիճան  +43°C/-7°C։Թևիկների կառավարումը</w:t>
            </w:r>
          </w:p>
          <w:p w14:paraId="0C2CA061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առկա է։ Գույնը՝ սպիտակ։ Ներսի բլոկի չափսեր՝  91x29-30x20-21 սմ</w:t>
            </w:r>
          </w:p>
          <w:p w14:paraId="27116D0D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Լրացուցիչ պայմաններ՝</w:t>
            </w:r>
          </w:p>
          <w:p w14:paraId="62914DF5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 `  1տարի:</w:t>
            </w:r>
          </w:p>
          <w:p w14:paraId="4A5DB53B" w14:textId="77777777" w:rsidR="00826F70" w:rsidRPr="00257150" w:rsidRDefault="00826F70" w:rsidP="00826F70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77C44F60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2607B1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6B01E7D7" w14:textId="1B42DC06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3281B71" w14:textId="467540C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B18D19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EEA1F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892C8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253F598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826F70" w:rsidRPr="00257150" w14:paraId="516532B8" w14:textId="77777777" w:rsidTr="00884AA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F5C00F6" w14:textId="79892DE4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9DB602" w14:textId="3EE7F674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39714200/503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5C4000" w14:textId="1F8BB0EB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Օդորակիչ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 մ/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քառ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տարածքի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60FE83C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B4D3464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Օդորակիչ պատի, սպլիտ համակարգով, աշխատանքային ռեժիմը՝ սառեցնող/ջեռուցող, հզորությունը  24000 BTU, որը նախատեսված է 80մ</w:t>
            </w:r>
            <w:r w:rsidRPr="00257150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 տարածքում ջերմաստիճանի ավտոմատ կարգավորման համար:Սպառվող հզորությունը  համապատասխանաբար  սառեցում / տաքացում  ռեժիմներում  առավելագույնը 2005վտ/1865վՎտ։ Սառցագենտ՝ R32: Օդի շրջանառությունը նվազագույնը 800մ³/ժ:Հոսանքը՝ 220-240Վ, 50-60 Հց: Էներգախնայողության դաս A։Աշխատանքային ջերմաստիճան  +43°C/-7°C։Թևիկների կառավարումը</w:t>
            </w:r>
          </w:p>
          <w:p w14:paraId="1BDFBE11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առկա է։ Գույնը՝ սպիտակ։ Ներսի բլոկի չափսեր 91x29-30x20-21 սմ</w:t>
            </w:r>
          </w:p>
          <w:p w14:paraId="718B4E91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Լրացուցիչ պայմաններ՝</w:t>
            </w:r>
          </w:p>
          <w:p w14:paraId="0851F9F4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 `  1տարի:</w:t>
            </w:r>
          </w:p>
          <w:p w14:paraId="2FF7A410" w14:textId="77777777" w:rsidR="00826F70" w:rsidRPr="00257150" w:rsidRDefault="00826F70" w:rsidP="00826F70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217137DD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78E3D8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BC97EAE" w14:textId="5FF01F13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C0DAF4D" w14:textId="6EFFA1D3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0B11DC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B90C8D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338B8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F43A6DD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826F70" w:rsidRPr="00257150" w14:paraId="1A27D49C" w14:textId="77777777" w:rsidTr="00884AA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2578CCB" w14:textId="52BFB106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3C11A51" w14:textId="062E70D4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39711140/501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1B75B6" w14:textId="48B00AC3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Սառնարան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27F8A40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1E7AFDE" w14:textId="77777777" w:rsidR="00826F70" w:rsidRPr="00394788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Սառնարան, սառեցման համակարգը՝ DEFROST համակարգ,դռների քանակը՝ 1դուռ,սառցարանը վերևից,ընդհանուր տարողությունը, առնվազն՝ 120 լիտր։ Ապրանքի չափերը</w:t>
            </w:r>
            <w:r w:rsidRPr="00394788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առնվազն</w:t>
            </w:r>
          </w:p>
          <w:p w14:paraId="5052905E" w14:textId="77777777" w:rsid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47 x 45 x 85 սմ  էներգախնայողության դասը՝ A, գազի տեսակը R600, հոսանքը 220-240վոլտ/50-60հերց, աղմուկը՝ </w:t>
            </w:r>
            <w:r w:rsidRPr="00394788">
              <w:rPr>
                <w:rFonts w:ascii="GHEA Grapalat" w:hAnsi="GHEA Grapalat"/>
                <w:sz w:val="16"/>
                <w:szCs w:val="16"/>
                <w:lang w:val="hy-AM"/>
              </w:rPr>
              <w:t>առնվազն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78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45dB: Գույնը անհրաժեշտ է համաձայնեցնել պատվիրատուի հետ։ Երաշխիքային ժամկետ, առնվազն՝ 24 ամիս : Ապրանքը պետք է լինի, չօգտագործված, մատակարարվի փակ տուփով։</w:t>
            </w:r>
          </w:p>
          <w:p w14:paraId="20B7384D" w14:textId="77777777" w:rsidR="00826F70" w:rsidRPr="00257150" w:rsidRDefault="00826F70" w:rsidP="00826F70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6B7B5D58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B8E16A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DACA7CE" w14:textId="0329A3DE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3AE4CE5" w14:textId="19E50CD2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C8DCD5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CC9F2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C1857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0EE89C3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826F70" w:rsidRPr="00257150" w14:paraId="4D8F6F92" w14:textId="77777777" w:rsidTr="00884AA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5142530" w14:textId="3875E038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E364F9" w14:textId="12B8B096" w:rsidR="00826F70" w:rsidRPr="00257150" w:rsidRDefault="00826F70" w:rsidP="00826F7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30232160/501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A589AF" w14:textId="0F5F84D3" w:rsidR="00826F70" w:rsidRPr="00257150" w:rsidRDefault="00826F70" w:rsidP="00826F70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Ջերմային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տպիչ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F9FE7B4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48891CD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Ջերմային տպիչ՝</w:t>
            </w:r>
          </w:p>
          <w:p w14:paraId="064E1BCD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մեթոդը՝ ջերմատպում</w:t>
            </w:r>
          </w:p>
          <w:p w14:paraId="7D8D2F08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Տպագրության որակը՝ 300 dpi</w:t>
            </w:r>
          </w:p>
          <w:p w14:paraId="2C524283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արագությունը 152մմ/վ</w:t>
            </w:r>
          </w:p>
          <w:p w14:paraId="6ACE7820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առավելագույն լայնությունը 58մմ ավել</w:t>
            </w:r>
          </w:p>
          <w:p w14:paraId="0DE349FB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առավելագույն երկարությունը 40մմ ավել</w:t>
            </w:r>
          </w:p>
          <w:p w14:paraId="6399DA74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ռեսուրսը՝ նվազագույնը 100կմ</w:t>
            </w:r>
          </w:p>
          <w:p w14:paraId="205E7DCB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Միացման ինտերֆեյսը՝ USB, LAN</w:t>
            </w:r>
          </w:p>
          <w:p w14:paraId="640C8C91" w14:textId="77777777" w:rsid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Տպիչի ծրագրավորման լեզուն՝ EPL, ZPL</w:t>
            </w:r>
          </w:p>
          <w:p w14:paraId="7B1DD163" w14:textId="2D06D47F" w:rsidR="00826F70" w:rsidRPr="00884AA2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Երաշխիքային ժամկետը `  2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տարի:</w:t>
            </w:r>
          </w:p>
          <w:p w14:paraId="353A82C3" w14:textId="77777777" w:rsidR="00826F70" w:rsidRPr="00257150" w:rsidRDefault="00826F70" w:rsidP="00826F70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5FB89449" w14:textId="77777777" w:rsidR="00826F70" w:rsidRPr="0025715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71D9879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556F3FA2" w14:textId="230CF6C4" w:rsidR="00826F70" w:rsidRPr="00257150" w:rsidRDefault="00826F70" w:rsidP="00826F70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7E91659" w14:textId="6F802B60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0B2EC6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E1EA0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B9988C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F1E0415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826F70" w:rsidRPr="00257150" w14:paraId="7C28906E" w14:textId="77777777" w:rsidTr="00884AA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B81AFE" w14:textId="2367F387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BF04BC7" w14:textId="65F65A4E" w:rsidR="00826F70" w:rsidRPr="00257150" w:rsidRDefault="00826F70" w:rsidP="00826F7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32341280/501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97F267" w14:textId="31EFDB9E" w:rsidR="00826F70" w:rsidRPr="000E487A" w:rsidRDefault="00826F70" w:rsidP="00826F70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Կանչի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կոճակ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մոնիտոր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C3B1C7B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2C063F7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E487A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Յուրաքանչյուր հավաքածուն ներառում է 1 մոնիտոր և 10 կանչի կոճակ 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Հաճախականությունը՝ 433 ՄՀց</w:t>
            </w:r>
          </w:p>
          <w:p w14:paraId="69C7C6EE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Աշխատանքային հեռավորությունը՝ մինչև 90 մետր (բաց տարածություն)</w:t>
            </w:r>
          </w:p>
          <w:p w14:paraId="30278E40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Նյութը՝ ABS պլաստիկ</w:t>
            </w:r>
          </w:p>
          <w:p w14:paraId="7888F567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Լիցքավորում՝ 2 AAA մարտկոց</w:t>
            </w:r>
          </w:p>
          <w:p w14:paraId="393B6D8D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Չափսը՝ 90x90x40 մմ</w:t>
            </w:r>
          </w:p>
          <w:p w14:paraId="37E67AE3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Քաշը՝ 75 գ</w:t>
            </w:r>
          </w:p>
          <w:p w14:paraId="200526F1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Համակարգի հեռահարությունը 1000 մետրով ավելացնելու հնարավորություն</w:t>
            </w:r>
          </w:p>
          <w:p w14:paraId="00B3A22D" w14:textId="77777777" w:rsidR="00826F70" w:rsidRPr="0025715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Հզորությունը՝ 12V/23A մարտկոց</w:t>
            </w:r>
          </w:p>
          <w:p w14:paraId="06615BC9" w14:textId="77777777" w:rsidR="00826F70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25715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Երկու ստեղնով (զանգել, չեղարկել):</w:t>
            </w:r>
          </w:p>
          <w:p w14:paraId="600AF3C7" w14:textId="77777777" w:rsidR="00826F70" w:rsidRPr="00B62734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1 տարի երաշխիքային սպասարկում:</w:t>
            </w:r>
          </w:p>
          <w:p w14:paraId="1F3702C1" w14:textId="77777777" w:rsidR="00826F70" w:rsidRPr="00257150" w:rsidRDefault="00826F70" w:rsidP="00826F70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6273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1C715818" w14:textId="77777777" w:rsidR="00826F70" w:rsidRPr="00B62734" w:rsidRDefault="00826F70" w:rsidP="00826F70">
            <w:pPr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4D4A1D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0721199F" w14:textId="5E6CD541" w:rsidR="00826F70" w:rsidRPr="00257150" w:rsidRDefault="00826F70" w:rsidP="00826F70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BE0AF7F" w14:textId="4363958B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B96099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B8FAC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257150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57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57150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8374E7" w14:textId="77777777" w:rsidR="00826F70" w:rsidRPr="00257150" w:rsidRDefault="00826F70" w:rsidP="00826F7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7289D55" w14:textId="77777777" w:rsidR="00826F70" w:rsidRPr="0025715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57150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257150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lastRenderedPageBreak/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77777777" w:rsidR="00D30525" w:rsidRPr="00BF510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24395C8C" w14:textId="77777777" w:rsidR="00231590" w:rsidRPr="00BF5101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bookmarkStart w:id="0" w:name="_GoBack"/>
      <w:bookmarkEnd w:id="0"/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826F70" w14:paraId="0CDC0780" w14:textId="77777777" w:rsidTr="00826F70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826F70" w14:paraId="339D0973" w14:textId="77777777" w:rsidTr="00826F70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единицы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826F70" w14:paraId="1DD039E8" w14:textId="77777777" w:rsidTr="00826F70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поставке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826F70" w:rsidRDefault="008749D1" w:rsidP="00826F7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26F70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826F70" w:rsidRPr="00826F70" w14:paraId="72AAE35C" w14:textId="77777777" w:rsidTr="00826F7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3B7463CE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6CE0336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403931"/>
                <w:sz w:val="16"/>
                <w:szCs w:val="16"/>
              </w:rPr>
              <w:t>32324900/501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1E3BACD8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Телевидение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817A2D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Тип телевизора LED, диагональ 32" дюйма, разрешение экрана 1366x768, HD READY, мощность звука не менее 2*6 Вт, тип non-smart. Частота кадров 50 Гц, контрастность 3000:1. Приемники: DVB-T2, DVB-T, DVB-S2. Входы: не менее HDMI: 2 шт, оптический, USB-вход: 1 шт. Угол обзора 178º/178º. Питание (В/Гц) 100-240В/50-60Гц. В комплекте комплект для настенного монтажа. Гарантия 2 года.</w:t>
            </w:r>
          </w:p>
          <w:p w14:paraId="2338BEF5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Размеры изделия без подставки составляют 73,4x17,1x43,4 см.</w:t>
            </w:r>
          </w:p>
          <w:p w14:paraId="563EA3C2" w14:textId="53026FBB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624EA364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416421E6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0A643579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31EA92C4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26F7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26F70" w:rsidRPr="00826F70" w14:paraId="402AE1CF" w14:textId="77777777" w:rsidTr="00826F7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3679747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58A0275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403931"/>
                <w:sz w:val="16"/>
                <w:szCs w:val="16"/>
              </w:rPr>
              <w:t>39714200/501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4C9B4FAD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30 м2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площади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3C3580C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 xml:space="preserve">Настенный кондиционер, сплит-система, режим работы: охлаждение/обогрев, мощность 9000 БТЕ, предназначен для </w:t>
            </w: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автоматического регулирования температуры на площади 30 м2. Потребляемая мощность в режимах охлаждение/обогрев составляет максимум 775 Вт/730 Вт соответственно. Хладагент: R32. Циркуляция воздуха минимум 450 м³/ч. Ток: 220-240 В, 50-60 Гц. Класс энергоэффективности A. Рабочая температура +43°C/-7°C. Управление вентилятором</w:t>
            </w:r>
          </w:p>
          <w:p w14:paraId="0815A58C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доступно. Цвет: белый. Размеры внутреннего блока: 70x25-26x19-20 см.</w:t>
            </w:r>
          </w:p>
          <w:p w14:paraId="417C8F87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Дополнительные условия:</w:t>
            </w:r>
          </w:p>
          <w:p w14:paraId="629AF333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Гарантийный срок: 1 год.</w:t>
            </w:r>
          </w:p>
          <w:p w14:paraId="5C70F1E3" w14:textId="6D70DE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0D4AED82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61E0664C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39753E36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0F0D469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26F7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826F70" w:rsidRPr="00826F70" w14:paraId="2A6FB170" w14:textId="77777777" w:rsidTr="00826F7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29F017F4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267771F3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403931"/>
                <w:sz w:val="16"/>
                <w:szCs w:val="16"/>
              </w:rPr>
              <w:t>39714200/502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7BB6D1A8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60 м2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площади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2425A2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Настенный кондиционер, сплит-система, режим работы: охлаждение/обогрев, мощность 18000 БТЕ, предназначен для автоматического регулирования температуры на площади 60м2. Потребляемая мощность в режимах охлаждение/обогрев составляет максимум 1554Вт/1420Вт соответственно. Хладагент: R32. Циркуляция воздуха минимум 800 м³/ч. Ток: 220-240 В, 50-60 Гц. Класс энергоэффективности A. Рабочая температура +43°C/-7°C. Управление вентилятором</w:t>
            </w:r>
          </w:p>
          <w:p w14:paraId="4DC4985C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доступно. Цвет: белый. Размеры внутреннего блока: 91x29-30x20-21 см.</w:t>
            </w:r>
          </w:p>
          <w:p w14:paraId="0A15D977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Дополнительные условия:</w:t>
            </w:r>
          </w:p>
          <w:p w14:paraId="03446E1F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Гарантийный срок: 1 год.</w:t>
            </w:r>
          </w:p>
          <w:p w14:paraId="61A5F8EF" w14:textId="73413E1A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5156EC1B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2B91FFC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78C152CA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0B58E898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26F7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26F70" w:rsidRPr="00826F70" w14:paraId="0E4D1602" w14:textId="77777777" w:rsidTr="00826F7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4EF8DFEF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53650C94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403931"/>
                <w:sz w:val="16"/>
                <w:szCs w:val="16"/>
              </w:rPr>
              <w:t>39714200/503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2A17DCF6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80 м2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площади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9F9B85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 xml:space="preserve">Настенный кондиционер, сплит-система, режим работы: охлаждение/обогрев, мощность 24000 БТЕ, предназначен для </w:t>
            </w: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автоматического регулирования температуры на площади 80м2. Потребляемая мощность в режимах охлаждение/обогрев составляет максимум 2005Вт/1865Вт соответственно. Хладагент: R32. Циркуляция воздуха минимум 800 м³/ч. Ток: 220-240 В, 50-60 Гц. Класс энергоэффективности A. Рабочая температура +43°C/-7°C. Управление вентилятором</w:t>
            </w:r>
          </w:p>
          <w:p w14:paraId="301E0F84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доступно. Цвет: белый. Размеры внутреннего блока 91x29-30x20-21 см.</w:t>
            </w:r>
          </w:p>
          <w:p w14:paraId="0C45F866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Дополнительные условия:</w:t>
            </w:r>
          </w:p>
          <w:p w14:paraId="7357126E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Гарантийный срок: 1 год.</w:t>
            </w:r>
          </w:p>
          <w:p w14:paraId="38D0B248" w14:textId="6E6AFAB2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E2161BB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0BE540B9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1B0E3A74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6CDFC05F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26F7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826F70" w:rsidRPr="00826F70" w14:paraId="5DDD39CE" w14:textId="77777777" w:rsidTr="00826F7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659E1C48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5D695432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403931"/>
                <w:sz w:val="16"/>
                <w:szCs w:val="16"/>
              </w:rPr>
              <w:t>39711140/501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2B229DAE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Холодильник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3BFC50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Холодильник, система охлаждения: система DEFROST, количество дверей: 1 дверь, морозильная камера сверху, общая вместимость не менее 120 литров. Размеры изделия не менее</w:t>
            </w:r>
          </w:p>
          <w:p w14:paraId="1C4B6C0C" w14:textId="77777777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47 x 45 x 85 см, класс энергоэффективности: A, тип газа: R600, ток: 220-240 вольт/50-60 герц, уровень шума: не менее 45 дБ. Цвет необходимо согласовать с заказчиком. Гарантийный срок не менее 24 месяцев. Товар должен быть неиспользованным, доставленным в запечатанной коробке.</w:t>
            </w:r>
          </w:p>
          <w:p w14:paraId="6E153FE8" w14:textId="147CB9D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/>
                <w:sz w:val="16"/>
                <w:szCs w:val="16"/>
                <w:lang w:val="hy-AM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236EA67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4E06DF4D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74F09EBE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5EE3DC58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26F7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26F70" w:rsidRPr="00826F70" w14:paraId="0329BDBD" w14:textId="77777777" w:rsidTr="00826F7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05757824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721B0E" w14:textId="29D0580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403931"/>
                <w:sz w:val="16"/>
                <w:szCs w:val="16"/>
              </w:rPr>
              <w:t>30232160/501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49529DA0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Термопринтер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AC2E50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4C69495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Термопринтер:</w:t>
            </w:r>
          </w:p>
          <w:p w14:paraId="413EEA53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Метод печати: термоперенос</w:t>
            </w:r>
          </w:p>
          <w:p w14:paraId="25B055F5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Качество печати: 300 точек на дюйм</w:t>
            </w:r>
          </w:p>
          <w:p w14:paraId="78DE6FBE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Скорость печати 152мм/с</w:t>
            </w:r>
          </w:p>
          <w:p w14:paraId="0871C0C4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Максимальная ширина печати 58 мм и более</w:t>
            </w:r>
          </w:p>
          <w:p w14:paraId="0EFCD2AF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Максимальная длина печати </w:t>
            </w: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lastRenderedPageBreak/>
              <w:t>составляет 40 мм.</w:t>
            </w:r>
          </w:p>
          <w:p w14:paraId="142B2EE3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Ресурс печати: минимум 100км</w:t>
            </w:r>
          </w:p>
          <w:p w14:paraId="57B26D7D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Интерфейс подключения: USB, LAN</w:t>
            </w:r>
          </w:p>
          <w:p w14:paraId="731F48FF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Язык программирования принтера: EPL, ZPL</w:t>
            </w:r>
          </w:p>
          <w:p w14:paraId="124050C1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Гарантийный срок: 2 года.</w:t>
            </w:r>
          </w:p>
          <w:p w14:paraId="0B79AE40" w14:textId="4866C82A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3CCB9E40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48940D4E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78B1659C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66890218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53B9E5E3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826F7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1DB504D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A239C23" w14:textId="4486871D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826F70" w:rsidRPr="00826F70" w14:paraId="05597867" w14:textId="77777777" w:rsidTr="00826F7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0A17E523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8B5647" w14:textId="51BE1481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403931"/>
                <w:sz w:val="16"/>
                <w:szCs w:val="16"/>
              </w:rPr>
              <w:t>32341280/501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22BEB4FD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Кнопка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вызова</w:t>
            </w:r>
            <w:proofErr w:type="spellEnd"/>
            <w:r w:rsidRPr="00826F70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826F70">
              <w:rPr>
                <w:rFonts w:ascii="GHEA Grapalat" w:hAnsi="GHEA Grapalat"/>
                <w:sz w:val="16"/>
                <w:szCs w:val="16"/>
              </w:rPr>
              <w:t>монитор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7C956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FDA308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В каждый комплект входит 1 монитор и 10 кнопок вызова Частота: 433 МГц</w:t>
            </w:r>
          </w:p>
          <w:p w14:paraId="0C6440C0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Рабочее расстояние: до 90 метров (открытое пространство)</w:t>
            </w:r>
          </w:p>
          <w:p w14:paraId="7D14CD3A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Материал: АБС-пластик</w:t>
            </w:r>
          </w:p>
          <w:p w14:paraId="22123537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Зарядка: 2 батарейки ААА</w:t>
            </w:r>
          </w:p>
          <w:p w14:paraId="2F903E4C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Размер: 90x90x40 мм</w:t>
            </w:r>
          </w:p>
          <w:p w14:paraId="4BB2AFBE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Вес: 75 г.</w:t>
            </w:r>
          </w:p>
          <w:p w14:paraId="210CE677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Возможность увеличения дальности действия системы на 1000 метров</w:t>
            </w:r>
          </w:p>
          <w:p w14:paraId="06F21FED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Питание: аккумулятор 12 В/23 А</w:t>
            </w:r>
          </w:p>
          <w:p w14:paraId="11BF7F86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Две клавиши (вызов, отмена).</w:t>
            </w:r>
          </w:p>
          <w:p w14:paraId="7A8BE289" w14:textId="77777777" w:rsidR="00826F70" w:rsidRPr="00826F70" w:rsidRDefault="00826F70" w:rsidP="00826F7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Гарантийное обслуживание 1 год.</w:t>
            </w:r>
          </w:p>
          <w:p w14:paraId="69F3AE99" w14:textId="637E9E13" w:rsidR="00826F70" w:rsidRPr="00826F70" w:rsidRDefault="00826F70" w:rsidP="00826F7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6F7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391AB82C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7777777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72CF3815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312242AA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26F7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77FA3E6C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826F7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56399BBC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DAE5E03" w14:textId="7B1867B7" w:rsidR="00826F70" w:rsidRPr="00826F70" w:rsidRDefault="00826F70" w:rsidP="00826F7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26F7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BF510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BF510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Если в течение срока действия договора Заказчик подал заявку на предмет закупки менее чем на всю партию, то договор расторгается на </w:t>
      </w:r>
      <w:proofErr w:type="spellStart"/>
      <w:r w:rsidRPr="00BF5101">
        <w:rPr>
          <w:rFonts w:ascii="GHEA Grapalat" w:hAnsi="GHEA Grapalat"/>
          <w:sz w:val="16"/>
          <w:szCs w:val="16"/>
          <w:lang w:val="ru-RU"/>
        </w:rPr>
        <w:t>непоставленную</w:t>
      </w:r>
      <w:proofErr w:type="spellEnd"/>
      <w:r w:rsidRPr="00BF5101">
        <w:rPr>
          <w:rFonts w:ascii="GHEA Grapalat" w:hAnsi="GHEA Grapalat"/>
          <w:sz w:val="16"/>
          <w:szCs w:val="16"/>
          <w:lang w:val="ru-RU"/>
        </w:rPr>
        <w:t>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53ACA" w14:textId="77777777" w:rsidR="00017326" w:rsidRDefault="00017326" w:rsidP="008749D1">
      <w:r>
        <w:separator/>
      </w:r>
    </w:p>
  </w:endnote>
  <w:endnote w:type="continuationSeparator" w:id="0">
    <w:p w14:paraId="747C2B55" w14:textId="77777777" w:rsidR="00017326" w:rsidRDefault="00017326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239D2" w14:textId="77777777" w:rsidR="00017326" w:rsidRDefault="00017326" w:rsidP="008749D1">
      <w:r>
        <w:separator/>
      </w:r>
    </w:p>
  </w:footnote>
  <w:footnote w:type="continuationSeparator" w:id="0">
    <w:p w14:paraId="746F423E" w14:textId="77777777" w:rsidR="00017326" w:rsidRDefault="00017326" w:rsidP="008749D1">
      <w:r>
        <w:continuationSeparator/>
      </w:r>
    </w:p>
  </w:footnote>
  <w:footnote w:id="1">
    <w:p w14:paraId="5463FF1F" w14:textId="77777777" w:rsidR="004D421A" w:rsidRDefault="004D421A" w:rsidP="008749D1"/>
  </w:footnote>
  <w:footnote w:id="2">
    <w:p w14:paraId="1B3F24CD" w14:textId="77777777" w:rsidR="004D421A" w:rsidRDefault="004D421A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1"/>
  </w:num>
  <w:num w:numId="13">
    <w:abstractNumId w:val="19"/>
  </w:num>
  <w:num w:numId="14">
    <w:abstractNumId w:val="7"/>
  </w:num>
  <w:num w:numId="15">
    <w:abstractNumId w:val="20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38AD"/>
    <w:rsid w:val="003E00F5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D421A"/>
    <w:rsid w:val="004D6F01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327D5"/>
    <w:rsid w:val="00E54D95"/>
    <w:rsid w:val="00E60B7F"/>
    <w:rsid w:val="00E61294"/>
    <w:rsid w:val="00E62AE0"/>
    <w:rsid w:val="00E6357F"/>
    <w:rsid w:val="00E64908"/>
    <w:rsid w:val="00E85F2F"/>
    <w:rsid w:val="00E91CD3"/>
    <w:rsid w:val="00E92886"/>
    <w:rsid w:val="00EB0711"/>
    <w:rsid w:val="00EC2E5B"/>
    <w:rsid w:val="00F1659F"/>
    <w:rsid w:val="00F21ABF"/>
    <w:rsid w:val="00F34CFA"/>
    <w:rsid w:val="00F420B0"/>
    <w:rsid w:val="00F51B96"/>
    <w:rsid w:val="00FA11E4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C3172-95BE-48EF-9AAC-4AF89877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9</Pages>
  <Words>2388</Words>
  <Characters>13614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140</cp:revision>
  <cp:lastPrinted>2020-08-06T06:58:00Z</cp:lastPrinted>
  <dcterms:created xsi:type="dcterms:W3CDTF">2018-10-01T10:12:00Z</dcterms:created>
  <dcterms:modified xsi:type="dcterms:W3CDTF">2025-02-13T16:35:00Z</dcterms:modified>
</cp:coreProperties>
</file>