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картриджей и их заправок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ԻՄ-ԷԱՃ-ԱՊՁԲ-25/3</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картриджей и их заправок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картриджей и их заправок</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картриджей и их заправок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фотобарабана-Xerox WC 5019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ф.барабан для Canon 071 /Canon i-sensys MF272DW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MF272DW-ի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 ԻՄ-ԷԱՃ-ԱՊՁԲ-25/3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 ԻՄ-ԷԱՃ-ԱՊՁԲ-25/3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фотобарабана-Xerox WC 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фотобарабана-Xerox 013R00670 для WorkCentre 5019/5021/5022/5024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ф.барабан для Canon 071 /Canon i-sensys MF272DW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для Canon 071 /Canon i-sensys MF272DW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MF272DW-ի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071,071H для Canon i-sensys MF272DW-ի համար /оригинал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рабочих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рабочих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рабочих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фотобарабана-Xerox WC 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ф.барабан для Canon 071 /Canon i-sensys MF272DW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MF272DW-ի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