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ЗАО «НАЦИОНАЛЬНЫЙ ЦЕНТР ИНФЕКЦИОННЫХ ЗАБОЛЕВАНИЙ» 25/21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ЗАО «НАЦИОНАЛЬНЫЙ ЦЕНТР ИНФЕКЦИОННЫХ ЗАБОЛЕВАНИЙ» 25/21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ЗАО «НАЦИОНАЛЬНЫЙ ЦЕНТР ИНФЕКЦИОННЫХ ЗАБОЛЕВАНИЙ» 25/21</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ЗАО «НАЦИОНАЛЬНЫЙ ЦЕНТР ИНФЕКЦИОННЫХ ЗАБОЛЕВАНИЙ» 25/21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սպունգան համար նախատեսված գրատախտակներ կամ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մետաղական ցանցով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պլաստիկից վերևի թափանցիկ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նեղ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Ա5 նամակի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փոխանցումով պիտակ 43*25/1000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MY MEDIA CD-R /50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սպունգան համար նախատեսված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մետաղական ցանցով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պլաստիկից վերևի թափանցիկ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նեղ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տարբեր գույների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Ա5 նամակի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2025թ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փոխանցումով պիտակ 43*25/1000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MY MEDIA CD-R /50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видеть. часть 1 тех. описание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Աճաгород Ереван, Ачарян 2, Малатия-Себастия, Бабаджанян 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2, Малатия-Себастия, Бабаджанян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​​при условии предоставления соответствующих финансовых ресурсов в течение 20 календарных дней после вступления в силу подписанного между сторонами соглашения, с учетом 20-летия правительства РА». в течение календарного дня, с учетом постановления Правительства Республики Армения 2017 года Требования пункта 1 подпункта 21 Порядка, утвержденного постановлением от 4 мая N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