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2025.02.14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оцинкованного гофрированного листа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Լարիսա Աղաջանյան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larisa.aghajanyan@yerevan.am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011-514-316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ԵՔ-ԷԱՃԱՊՁԲ-25/47</w:t>
      </w:r>
      <w:r w:rsidRPr="00F32D53">
        <w:rPr>
          <w:rFonts w:ascii="Calibri" w:hAnsi="Calibri" w:cstheme="minorHAnsi"/>
          <w:i/>
        </w:rPr>
        <w:br/>
      </w:r>
      <w:r w:rsidRPr="00F32D53">
        <w:rPr>
          <w:rFonts w:ascii="Calibri" w:hAnsi="Calibri" w:cstheme="minorHAnsi"/>
          <w:szCs w:val="20"/>
          <w:lang w:val="af-ZA"/>
        </w:rPr>
        <w:t>2025.02.14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оцинкованного гофрированного листа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оцинкованного гофрированного листа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ԵՔ-ԷԱՃԱՊՁԲ-25/47</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larisa.aghajanyan@yerevan.am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оцинкованного гофрированного листа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профнастил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09:30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396.39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4.3378</w:t>
      </w:r>
      <w:r w:rsidRPr="00F32D53">
        <w:rPr>
          <w:rFonts w:ascii="Calibri" w:hAnsi="Calibri" w:cstheme="minorHAnsi"/>
          <w:szCs w:val="22"/>
        </w:rPr>
        <w:t xml:space="preserve"> драмом, евро </w:t>
      </w:r>
      <w:r w:rsidR="00991780" w:rsidRPr="00F32D53">
        <w:rPr>
          <w:rFonts w:ascii="Calibri" w:hAnsi="Calibri" w:cstheme="minorHAnsi"/>
          <w:lang w:val="af-ZA"/>
        </w:rPr>
        <w:t>415.73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2025.03.03. 09:30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ԵՔ-ԷԱՃԱՊՁԲ-25/47</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ԵՔ-ԷԱՃԱՊՁԲ-25/47</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'ԵՔ-ԷԱՃԱՊՁԲ-25/47'</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ԵՔ-ԷԱՃԱՊՁԲ-25/47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"ԵՔ-ԷԱՃԱՊՁԲ-25/47"*</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ԵՔ-ԷԱՃԱՊՁԲ-25/47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ԵՔ-ԷԱՃԱՊՁԲ-25/47</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0.18(ноль целых восемнадцать)</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15</w:t>
      </w:r>
      <w:r w:rsidRPr="00F32D53">
        <w:rPr>
          <w:rFonts w:ascii="Calibri" w:hAnsi="Calibri" w:cstheme="minorHAnsi"/>
          <w:color w:val="000000" w:themeColor="text1"/>
          <w:lang w:val="ru-RU"/>
        </w:rPr>
        <w:t xml:space="preserve"> (</w:t>
      </w:r>
      <w:r w:rsidRPr="00F32D53">
        <w:rPr>
          <w:rFonts w:ascii="Calibri" w:hAnsi="Calibri" w:cstheme="minorHAnsi"/>
          <w:lang w:val="hy-AM"/>
        </w:rPr>
        <w:t>пятнадцать</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Эребуни города Еревана в порядке, установленном законодательством РА.</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профнастил оцинкованный КП 25 /ширина 1050 мм, длина 6000 мм, монтажная ширина 1000 мм, толщина 0,55 мм/ Количество цинка на металле должно быть не менее 120 г на 1 кв.м.Лист оцинкованный должен соответствовать нормативным требованиям, действующим в Республике Армения, а также квалификационным показателям и параметрам продукции.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приобретения устанавливается со дня вступления в силу договора до 30-го календарного дня включительно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профнастил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