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CFAC437" w14:textId="5FA75907" w:rsidR="000B4FF6" w:rsidRPr="00E87403" w:rsidRDefault="00D76412" w:rsidP="00E87403">
      <w:pPr>
        <w:widowControl w:val="0"/>
        <w:tabs>
          <w:tab w:val="left" w:pos="3810"/>
          <w:tab w:val="left" w:pos="6195"/>
          <w:tab w:val="left" w:pos="13305"/>
        </w:tabs>
        <w:rPr>
          <w:rFonts w:ascii="Sylfaen" w:hAnsi="Sylfaen"/>
          <w:b/>
          <w:sz w:val="20"/>
          <w:lang w:val="hy-AM"/>
        </w:rPr>
      </w:pPr>
      <w:r>
        <w:rPr>
          <w:rFonts w:ascii="Sylfaen" w:hAnsi="Sylfaen"/>
          <w:b/>
          <w:sz w:val="20"/>
        </w:rPr>
        <w:t xml:space="preserve">                                                                                         </w:t>
      </w:r>
      <w:r w:rsidR="00D6790B">
        <w:rPr>
          <w:rFonts w:ascii="Sylfaen" w:hAnsi="Sylfaen"/>
          <w:b/>
          <w:sz w:val="20"/>
        </w:rPr>
        <w:t xml:space="preserve">             </w:t>
      </w:r>
      <w:r>
        <w:rPr>
          <w:rFonts w:ascii="Sylfaen" w:hAnsi="Sylfaen"/>
          <w:b/>
          <w:sz w:val="20"/>
        </w:rPr>
        <w:t xml:space="preserve">  </w:t>
      </w:r>
      <w:r w:rsidR="0011000E" w:rsidRPr="00E87403">
        <w:rPr>
          <w:rFonts w:ascii="Sylfaen" w:hAnsi="Sylfaen"/>
          <w:b/>
          <w:sz w:val="20"/>
          <w:lang w:val="hy-AM"/>
        </w:rPr>
        <w:t xml:space="preserve">ՏԵԽՆԻԿԱԿԱՆ ԲՆՈՒԹԱԳԻՐ </w:t>
      </w:r>
    </w:p>
    <w:p w14:paraId="5BFC2DFA" w14:textId="77777777" w:rsidR="000B4FF6" w:rsidRPr="00E87403" w:rsidRDefault="000B4FF6" w:rsidP="00E87403">
      <w:pPr>
        <w:widowControl w:val="0"/>
        <w:shd w:val="clear" w:color="auto" w:fill="FFFFFF" w:themeFill="background1"/>
        <w:tabs>
          <w:tab w:val="left" w:pos="652"/>
          <w:tab w:val="left" w:pos="5760"/>
          <w:tab w:val="right" w:pos="15398"/>
        </w:tabs>
        <w:rPr>
          <w:rFonts w:ascii="Sylfaen" w:hAnsi="Sylfaen"/>
          <w:sz w:val="20"/>
          <w:lang w:val="hy-AM"/>
        </w:rPr>
      </w:pPr>
    </w:p>
    <w:p w14:paraId="533D46C2" w14:textId="2E45ACC2" w:rsidR="006E3923" w:rsidRPr="00E87403" w:rsidRDefault="006E3923" w:rsidP="00E87403">
      <w:pPr>
        <w:widowControl w:val="0"/>
        <w:shd w:val="clear" w:color="auto" w:fill="FFFFFF" w:themeFill="background1"/>
        <w:tabs>
          <w:tab w:val="left" w:pos="652"/>
          <w:tab w:val="left" w:pos="5760"/>
          <w:tab w:val="right" w:pos="15398"/>
        </w:tabs>
        <w:rPr>
          <w:rFonts w:ascii="Sylfaen" w:hAnsi="Sylfaen"/>
          <w:sz w:val="20"/>
          <w:lang w:val="hy-AM"/>
        </w:rPr>
      </w:pPr>
    </w:p>
    <w:tbl>
      <w:tblPr>
        <w:tblW w:w="14917" w:type="dxa"/>
        <w:tblInd w:w="-1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" w:type="dxa"/>
          <w:right w:w="11" w:type="dxa"/>
        </w:tblCellMar>
        <w:tblLook w:val="04A0" w:firstRow="1" w:lastRow="0" w:firstColumn="1" w:lastColumn="0" w:noHBand="0" w:noVBand="1"/>
      </w:tblPr>
      <w:tblGrid>
        <w:gridCol w:w="543"/>
        <w:gridCol w:w="269"/>
        <w:gridCol w:w="1184"/>
        <w:gridCol w:w="1585"/>
        <w:gridCol w:w="6871"/>
        <w:gridCol w:w="620"/>
        <w:gridCol w:w="567"/>
        <w:gridCol w:w="708"/>
        <w:gridCol w:w="2570"/>
      </w:tblGrid>
      <w:tr w:rsidR="007F3FB2" w:rsidRPr="00E87403" w14:paraId="0647CE88" w14:textId="77777777" w:rsidTr="00E87403">
        <w:trPr>
          <w:trHeight w:val="265"/>
        </w:trPr>
        <w:tc>
          <w:tcPr>
            <w:tcW w:w="812" w:type="dxa"/>
            <w:gridSpan w:val="2"/>
          </w:tcPr>
          <w:p w14:paraId="54FE216E" w14:textId="77777777" w:rsidR="007F3FB2" w:rsidRPr="00E87403" w:rsidRDefault="007F3FB2" w:rsidP="00E87403">
            <w:pPr>
              <w:rPr>
                <w:rFonts w:ascii="Sylfaen" w:hAnsi="Sylfaen" w:cs="Arial"/>
                <w:sz w:val="20"/>
                <w:lang w:val="es-ES"/>
              </w:rPr>
            </w:pPr>
          </w:p>
        </w:tc>
        <w:tc>
          <w:tcPr>
            <w:tcW w:w="14105" w:type="dxa"/>
            <w:gridSpan w:val="7"/>
          </w:tcPr>
          <w:p w14:paraId="70D0688D" w14:textId="6B5C74EA" w:rsidR="007F3FB2" w:rsidRPr="00E87403" w:rsidRDefault="007F3FB2" w:rsidP="00E87403">
            <w:pPr>
              <w:rPr>
                <w:rFonts w:ascii="Sylfaen" w:hAnsi="Sylfaen"/>
                <w:sz w:val="20"/>
              </w:rPr>
            </w:pPr>
            <w:r w:rsidRPr="00E87403">
              <w:rPr>
                <w:rFonts w:ascii="Sylfaen" w:hAnsi="Sylfaen" w:cs="Arial"/>
                <w:sz w:val="20"/>
              </w:rPr>
              <w:t>Ապրանքներ</w:t>
            </w:r>
          </w:p>
        </w:tc>
      </w:tr>
      <w:tr w:rsidR="00AA1356" w:rsidRPr="00E87403" w14:paraId="225058C4" w14:textId="77777777" w:rsidTr="00E87403">
        <w:trPr>
          <w:trHeight w:val="224"/>
        </w:trPr>
        <w:tc>
          <w:tcPr>
            <w:tcW w:w="543" w:type="dxa"/>
            <w:vMerge w:val="restart"/>
          </w:tcPr>
          <w:p w14:paraId="0BCADAB3" w14:textId="77777777" w:rsidR="00AA1356" w:rsidRPr="00E87403" w:rsidRDefault="00AA1356" w:rsidP="00E87403">
            <w:pPr>
              <w:tabs>
                <w:tab w:val="left" w:pos="0"/>
              </w:tabs>
              <w:rPr>
                <w:rFonts w:ascii="Sylfaen" w:hAnsi="Sylfaen"/>
                <w:sz w:val="20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հրավերով</w:t>
            </w:r>
            <w:r w:rsidRPr="00E87403">
              <w:rPr>
                <w:rFonts w:ascii="Sylfaen" w:hAnsi="Sylfaen"/>
                <w:sz w:val="20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</w:rPr>
              <w:t>նախատեսված</w:t>
            </w:r>
            <w:r w:rsidRPr="00E87403">
              <w:rPr>
                <w:rFonts w:ascii="Sylfaen" w:hAnsi="Sylfaen"/>
                <w:sz w:val="20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</w:rPr>
              <w:t>չափաբաժնի</w:t>
            </w:r>
            <w:r w:rsidRPr="00E87403">
              <w:rPr>
                <w:rFonts w:ascii="Sylfaen" w:hAnsi="Sylfaen"/>
                <w:sz w:val="20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</w:rPr>
              <w:t>համարը</w:t>
            </w:r>
          </w:p>
        </w:tc>
        <w:tc>
          <w:tcPr>
            <w:tcW w:w="1453" w:type="dxa"/>
            <w:gridSpan w:val="2"/>
            <w:vMerge w:val="restart"/>
          </w:tcPr>
          <w:p w14:paraId="0034CDB6" w14:textId="2773C3EA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  <w:r w:rsidRPr="00E87403">
              <w:rPr>
                <w:rFonts w:ascii="Sylfaen" w:hAnsi="Sylfaen" w:cs="Arial"/>
                <w:sz w:val="20"/>
              </w:rPr>
              <w:t>գնումների</w:t>
            </w:r>
            <w:r w:rsidRPr="00E87403">
              <w:rPr>
                <w:rFonts w:ascii="Sylfaen" w:hAnsi="Sylfaen"/>
                <w:sz w:val="20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</w:rPr>
              <w:t>պլանով</w:t>
            </w:r>
            <w:r w:rsidRPr="00E87403">
              <w:rPr>
                <w:rFonts w:ascii="Sylfaen" w:hAnsi="Sylfaen"/>
                <w:sz w:val="20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</w:rPr>
              <w:t>նախատեսված</w:t>
            </w:r>
            <w:r w:rsidRPr="00E87403">
              <w:rPr>
                <w:rFonts w:ascii="Sylfaen" w:hAnsi="Sylfaen"/>
                <w:sz w:val="20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</w:rPr>
              <w:t>միջանցիկ</w:t>
            </w:r>
            <w:r w:rsidRPr="00E87403">
              <w:rPr>
                <w:rFonts w:ascii="Sylfaen" w:hAnsi="Sylfaen"/>
                <w:sz w:val="20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</w:rPr>
              <w:t>ծած</w:t>
            </w:r>
            <w:r w:rsidRPr="00E87403">
              <w:rPr>
                <w:rFonts w:ascii="Sylfaen" w:hAnsi="Sylfaen" w:cs="Arial"/>
                <w:sz w:val="20"/>
              </w:rPr>
              <w:softHyphen/>
              <w:t>կագիրը</w:t>
            </w:r>
            <w:r w:rsidRPr="00E87403">
              <w:rPr>
                <w:rFonts w:ascii="Sylfaen" w:hAnsi="Sylfaen"/>
                <w:sz w:val="20"/>
              </w:rPr>
              <w:t xml:space="preserve">` </w:t>
            </w:r>
            <w:r w:rsidRPr="00E87403">
              <w:rPr>
                <w:rFonts w:ascii="Sylfaen" w:hAnsi="Sylfaen" w:cs="Arial"/>
                <w:sz w:val="20"/>
              </w:rPr>
              <w:t>ըստ</w:t>
            </w:r>
            <w:r w:rsidRPr="00E87403">
              <w:rPr>
                <w:rFonts w:ascii="Sylfaen" w:hAnsi="Sylfaen"/>
                <w:sz w:val="20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</w:rPr>
              <w:t>ԳՄԱ</w:t>
            </w:r>
            <w:r w:rsidRPr="00E87403">
              <w:rPr>
                <w:rFonts w:ascii="Sylfaen" w:hAnsi="Sylfaen"/>
                <w:sz w:val="20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</w:rPr>
              <w:t>դասա</w:t>
            </w:r>
            <w:r w:rsidRPr="00E87403">
              <w:rPr>
                <w:rFonts w:ascii="Sylfaen" w:hAnsi="Sylfaen" w:cs="Arial"/>
                <w:sz w:val="20"/>
              </w:rPr>
              <w:softHyphen/>
              <w:t>կարգ</w:t>
            </w:r>
            <w:r w:rsidRPr="00E87403">
              <w:rPr>
                <w:rFonts w:ascii="Sylfaen" w:hAnsi="Sylfaen" w:cs="Arial"/>
                <w:sz w:val="20"/>
              </w:rPr>
              <w:softHyphen/>
              <w:t>ման</w:t>
            </w:r>
            <w:r w:rsidRPr="00E87403">
              <w:rPr>
                <w:rFonts w:ascii="Sylfaen" w:hAnsi="Sylfaen"/>
                <w:sz w:val="20"/>
              </w:rPr>
              <w:t xml:space="preserve"> (CPV)</w:t>
            </w:r>
          </w:p>
        </w:tc>
        <w:tc>
          <w:tcPr>
            <w:tcW w:w="1585" w:type="dxa"/>
            <w:vMerge w:val="restart"/>
          </w:tcPr>
          <w:p w14:paraId="04C479F1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ru-RU"/>
              </w:rPr>
              <w:t>անվանում</w:t>
            </w:r>
          </w:p>
        </w:tc>
        <w:tc>
          <w:tcPr>
            <w:tcW w:w="6871" w:type="dxa"/>
            <w:vMerge w:val="restart"/>
          </w:tcPr>
          <w:p w14:paraId="0086B639" w14:textId="6D9C8908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  <w:r w:rsidRPr="00E87403">
              <w:rPr>
                <w:rFonts w:ascii="Sylfaen" w:hAnsi="Sylfaen" w:cs="Arial"/>
                <w:sz w:val="20"/>
              </w:rPr>
              <w:t>տեխնիկական</w:t>
            </w:r>
            <w:r w:rsidRPr="00E87403">
              <w:rPr>
                <w:rFonts w:ascii="Sylfaen" w:hAnsi="Sylfaen"/>
                <w:sz w:val="20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</w:rPr>
              <w:t>բնութագիրը</w:t>
            </w:r>
          </w:p>
        </w:tc>
        <w:tc>
          <w:tcPr>
            <w:tcW w:w="620" w:type="dxa"/>
            <w:vMerge w:val="restart"/>
          </w:tcPr>
          <w:p w14:paraId="4B0955E0" w14:textId="77777777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  <w:r w:rsidRPr="00E87403">
              <w:rPr>
                <w:rFonts w:ascii="Sylfaen" w:hAnsi="Sylfaen" w:cs="Arial"/>
                <w:sz w:val="20"/>
              </w:rPr>
              <w:t>չափման</w:t>
            </w:r>
            <w:r w:rsidRPr="00E87403">
              <w:rPr>
                <w:rFonts w:ascii="Sylfaen" w:hAnsi="Sylfaen"/>
                <w:sz w:val="20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</w:rPr>
              <w:t>միավորը</w:t>
            </w:r>
          </w:p>
        </w:tc>
        <w:tc>
          <w:tcPr>
            <w:tcW w:w="567" w:type="dxa"/>
            <w:vMerge w:val="restart"/>
          </w:tcPr>
          <w:p w14:paraId="1785B9A0" w14:textId="43B9767C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  <w:r w:rsidRPr="00E87403">
              <w:rPr>
                <w:rFonts w:ascii="Sylfaen" w:hAnsi="Sylfaen" w:cs="Arial"/>
                <w:sz w:val="20"/>
              </w:rPr>
              <w:t>ընդ</w:t>
            </w:r>
            <w:r w:rsidRPr="00E87403">
              <w:rPr>
                <w:rFonts w:ascii="Sylfaen" w:hAnsi="Sylfaen" w:cs="Arial"/>
                <w:sz w:val="20"/>
              </w:rPr>
              <w:softHyphen/>
              <w:t>հա</w:t>
            </w:r>
            <w:r w:rsidRPr="00E87403">
              <w:rPr>
                <w:rFonts w:ascii="Sylfaen" w:hAnsi="Sylfaen" w:cs="Arial"/>
                <w:sz w:val="20"/>
              </w:rPr>
              <w:softHyphen/>
              <w:t>նուր</w:t>
            </w:r>
            <w:r w:rsidRPr="00E87403">
              <w:rPr>
                <w:rFonts w:ascii="Sylfaen" w:hAnsi="Sylfaen"/>
                <w:sz w:val="20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</w:rPr>
              <w:t>քա</w:t>
            </w:r>
            <w:r w:rsidRPr="00E87403">
              <w:rPr>
                <w:rFonts w:ascii="Sylfaen" w:hAnsi="Sylfaen" w:cs="Arial"/>
                <w:sz w:val="20"/>
              </w:rPr>
              <w:softHyphen/>
              <w:t>նա</w:t>
            </w:r>
            <w:r w:rsidRPr="00E87403">
              <w:rPr>
                <w:rFonts w:ascii="Sylfaen" w:hAnsi="Sylfaen" w:cs="Arial"/>
                <w:sz w:val="20"/>
              </w:rPr>
              <w:softHyphen/>
              <w:t>կը</w:t>
            </w:r>
          </w:p>
        </w:tc>
        <w:tc>
          <w:tcPr>
            <w:tcW w:w="3278" w:type="dxa"/>
            <w:gridSpan w:val="2"/>
          </w:tcPr>
          <w:p w14:paraId="002EE693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ru-RU"/>
              </w:rPr>
              <w:t>մատակարարման</w:t>
            </w:r>
          </w:p>
        </w:tc>
      </w:tr>
      <w:tr w:rsidR="00AA1356" w:rsidRPr="00E87403" w14:paraId="1D14975C" w14:textId="77777777" w:rsidTr="00E87403">
        <w:trPr>
          <w:trHeight w:val="422"/>
        </w:trPr>
        <w:tc>
          <w:tcPr>
            <w:tcW w:w="543" w:type="dxa"/>
            <w:vMerge/>
          </w:tcPr>
          <w:p w14:paraId="7F6A15FE" w14:textId="77777777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</w:p>
        </w:tc>
        <w:tc>
          <w:tcPr>
            <w:tcW w:w="1453" w:type="dxa"/>
            <w:gridSpan w:val="2"/>
            <w:vMerge/>
          </w:tcPr>
          <w:p w14:paraId="23DAA1BE" w14:textId="77777777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</w:p>
        </w:tc>
        <w:tc>
          <w:tcPr>
            <w:tcW w:w="1585" w:type="dxa"/>
            <w:vMerge/>
          </w:tcPr>
          <w:p w14:paraId="157BC23A" w14:textId="77777777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</w:p>
        </w:tc>
        <w:tc>
          <w:tcPr>
            <w:tcW w:w="6871" w:type="dxa"/>
            <w:vMerge/>
          </w:tcPr>
          <w:p w14:paraId="47D6FA7F" w14:textId="77777777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</w:p>
        </w:tc>
        <w:tc>
          <w:tcPr>
            <w:tcW w:w="620" w:type="dxa"/>
            <w:vMerge/>
          </w:tcPr>
          <w:p w14:paraId="1D54A24C" w14:textId="77777777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</w:p>
        </w:tc>
        <w:tc>
          <w:tcPr>
            <w:tcW w:w="567" w:type="dxa"/>
            <w:vMerge/>
          </w:tcPr>
          <w:p w14:paraId="66D1CFF7" w14:textId="77777777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</w:p>
        </w:tc>
        <w:tc>
          <w:tcPr>
            <w:tcW w:w="708" w:type="dxa"/>
          </w:tcPr>
          <w:p w14:paraId="1FB44B31" w14:textId="77777777" w:rsidR="00AA1356" w:rsidRPr="00E87403" w:rsidRDefault="00AA1356" w:rsidP="00E87403">
            <w:pPr>
              <w:rPr>
                <w:rFonts w:ascii="Sylfaen" w:hAnsi="Sylfaen" w:cs="Arial"/>
                <w:sz w:val="20"/>
              </w:rPr>
            </w:pPr>
            <w:r w:rsidRPr="00E87403">
              <w:rPr>
                <w:rFonts w:ascii="Sylfaen" w:hAnsi="Sylfaen" w:cs="Arial"/>
                <w:sz w:val="20"/>
              </w:rPr>
              <w:t>Հասցեն</w:t>
            </w:r>
          </w:p>
          <w:p w14:paraId="76DE48B7" w14:textId="3947C986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</w:p>
        </w:tc>
        <w:tc>
          <w:tcPr>
            <w:tcW w:w="2570" w:type="dxa"/>
          </w:tcPr>
          <w:p w14:paraId="48987D88" w14:textId="55943F46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  <w:r w:rsidRPr="00E87403">
              <w:rPr>
                <w:rFonts w:ascii="Sylfaen" w:hAnsi="Sylfaen" w:cs="Arial"/>
                <w:sz w:val="20"/>
              </w:rPr>
              <w:t>Ժամկետը</w:t>
            </w:r>
            <w:r w:rsidRPr="00E87403">
              <w:rPr>
                <w:rFonts w:ascii="Sylfaen" w:hAnsi="Sylfaen"/>
                <w:sz w:val="20"/>
              </w:rPr>
              <w:t>**</w:t>
            </w:r>
          </w:p>
        </w:tc>
      </w:tr>
      <w:tr w:rsidR="00AA1356" w:rsidRPr="00816AAE" w14:paraId="2EF4C6E7" w14:textId="77777777" w:rsidTr="00E87403">
        <w:trPr>
          <w:trHeight w:val="358"/>
        </w:trPr>
        <w:tc>
          <w:tcPr>
            <w:tcW w:w="543" w:type="dxa"/>
          </w:tcPr>
          <w:p w14:paraId="427C624B" w14:textId="77777777" w:rsidR="00AA1356" w:rsidRPr="00E87403" w:rsidRDefault="00AA1356" w:rsidP="00E87403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Sylfaen" w:hAnsi="Sylfaen"/>
                <w:color w:val="262626" w:themeColor="text1" w:themeTint="D9"/>
                <w:sz w:val="20"/>
              </w:rPr>
            </w:pPr>
          </w:p>
        </w:tc>
        <w:tc>
          <w:tcPr>
            <w:tcW w:w="1453" w:type="dxa"/>
            <w:gridSpan w:val="2"/>
          </w:tcPr>
          <w:p w14:paraId="38D3AE3D" w14:textId="1FAE1BF7" w:rsidR="00AA1356" w:rsidRPr="00E87403" w:rsidRDefault="00AA1356" w:rsidP="00E87403">
            <w:pPr>
              <w:rPr>
                <w:rFonts w:ascii="Sylfaen" w:hAnsi="Sylfaen"/>
                <w:sz w:val="20"/>
                <w:highlight w:val="yellow"/>
                <w:lang w:val="hy-AM"/>
              </w:rPr>
            </w:pPr>
            <w:r w:rsidRPr="00E87403">
              <w:rPr>
                <w:rFonts w:ascii="Sylfaen" w:hAnsi="Sylfaen" w:cs="Calibri"/>
                <w:color w:val="37474F"/>
                <w:sz w:val="20"/>
                <w:shd w:val="clear" w:color="auto" w:fill="FFFFFF"/>
              </w:rPr>
              <w:t>38591200/43</w:t>
            </w:r>
          </w:p>
        </w:tc>
        <w:tc>
          <w:tcPr>
            <w:tcW w:w="1585" w:type="dxa"/>
          </w:tcPr>
          <w:p w14:paraId="68471D66" w14:textId="77777777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Ուլտրամանուշակագույն ճառագայթահարման փորձարկման խցիկ BS-04</w:t>
            </w:r>
          </w:p>
          <w:p w14:paraId="0B3FB6FD" w14:textId="623350F5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UV/VIS  Irradiation Chamber և սարքի սպասարկման համար  նյութեր</w:t>
            </w:r>
          </w:p>
          <w:p w14:paraId="5476F953" w14:textId="4CE069D4" w:rsidR="00AA1356" w:rsidRPr="00E87403" w:rsidRDefault="00AA1356" w:rsidP="00E87403">
            <w:pPr>
              <w:rPr>
                <w:rFonts w:ascii="Sylfaen" w:hAnsi="Sylfaen" w:cs="Arial"/>
                <w:sz w:val="20"/>
                <w:lang w:val="hy-AM"/>
              </w:rPr>
            </w:pPr>
          </w:p>
        </w:tc>
        <w:tc>
          <w:tcPr>
            <w:tcW w:w="6871" w:type="dxa"/>
          </w:tcPr>
          <w:p w14:paraId="67C711F0" w14:textId="77777777" w:rsidR="00AA1356" w:rsidRPr="00E87403" w:rsidRDefault="00AA1356" w:rsidP="00E87403">
            <w:pPr>
              <w:ind w:left="34" w:right="34"/>
              <w:rPr>
                <w:rFonts w:ascii="Sylfaen" w:hAnsi="Sylfaen" w:cs="Arial"/>
                <w:bCs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 xml:space="preserve">Ուլտրամանուշակագույն ճառագայթահարման փորձարկման խցիկ`  տրամաչափական սենսորներով, </w:t>
            </w:r>
            <w:r w:rsidRPr="00E87403">
              <w:rPr>
                <w:rFonts w:ascii="Sylfaen" w:hAnsi="Sylfaen"/>
                <w:bCs/>
                <w:noProof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Arial"/>
                <w:bCs/>
                <w:sz w:val="20"/>
                <w:lang w:val="hy-AM"/>
              </w:rPr>
              <w:t>նմուշների շարժական կրիչով,</w:t>
            </w:r>
            <w:r w:rsidRPr="00E87403">
              <w:rPr>
                <w:rFonts w:ascii="Sylfaen" w:eastAsia="Calibri" w:hAnsi="Sylfaen" w:cs="Sylfaen"/>
                <w:bCs/>
                <w:noProof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Arial"/>
                <w:bCs/>
                <w:sz w:val="20"/>
                <w:lang w:val="hy-AM"/>
              </w:rPr>
              <w:t>CO</w:t>
            </w:r>
            <w:r w:rsidRPr="00E87403">
              <w:rPr>
                <w:rFonts w:ascii="Sylfaen" w:hAnsi="Sylfaen" w:cs="Arial"/>
                <w:bCs/>
                <w:sz w:val="20"/>
                <w:vertAlign w:val="subscript"/>
                <w:lang w:val="hy-AM"/>
              </w:rPr>
              <w:t>2</w:t>
            </w:r>
            <w:r w:rsidRPr="00E87403">
              <w:rPr>
                <w:rFonts w:ascii="Sylfaen" w:hAnsi="Sylfaen" w:cs="Arial"/>
                <w:bCs/>
                <w:sz w:val="20"/>
                <w:lang w:val="hy-AM"/>
              </w:rPr>
              <w:t xml:space="preserve">—ի կարգավորման մոդուլով, </w:t>
            </w:r>
            <w:r w:rsidRPr="00E87403">
              <w:rPr>
                <w:rFonts w:ascii="Sylfaen" w:eastAsia="Calibri" w:hAnsi="Sylfaen" w:cs="Sylfaen"/>
                <w:bCs/>
                <w:noProof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Arial"/>
                <w:bCs/>
                <w:sz w:val="20"/>
                <w:lang w:val="hy-AM"/>
              </w:rPr>
              <w:t>Take 3 մոդուլով,</w:t>
            </w:r>
          </w:p>
          <w:p w14:paraId="5B081DB8" w14:textId="77777777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Ճառագայթահարման կարգավորիչներով՝</w:t>
            </w:r>
          </w:p>
          <w:p w14:paraId="61690D82" w14:textId="45395599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UV-MAT և UV-MAT Touch։ Չափերը   առնվազն 860x650x320մմ</w:t>
            </w:r>
          </w:p>
          <w:p w14:paraId="16382320" w14:textId="77777777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(ԵxԼxԲ)):</w:t>
            </w:r>
          </w:p>
          <w:p w14:paraId="73F78403" w14:textId="77777777" w:rsidR="00AA1356" w:rsidRPr="00E87403" w:rsidRDefault="00AA1356" w:rsidP="00E87403">
            <w:pPr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Սարքի աշխատանքի համար անհրաժեշտ քիմիական նյութեր՝</w:t>
            </w:r>
          </w:p>
          <w:p w14:paraId="53056E19" w14:textId="65E26449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ind w:right="34"/>
              <w:rPr>
                <w:rFonts w:ascii="Sylfaen" w:hAnsi="Sylfaen" w:cs="Arial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D-գլյուկոզ</w:t>
            </w: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>-5 կգ</w:t>
            </w:r>
          </w:p>
          <w:p w14:paraId="290510BD" w14:textId="6600693D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ru-RU"/>
              </w:rPr>
              <w:t>ս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պիտակ փոշի, քաղցր, քիմիապես մաքուր</w:t>
            </w:r>
          </w:p>
          <w:p w14:paraId="535BA2F0" w14:textId="131EE4BE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ind w:right="34"/>
              <w:rPr>
                <w:rFonts w:ascii="Sylfaen" w:hAnsi="Sylfaen" w:cs="Arial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Վիտամին C,  L-ասկորբինաթթու</w:t>
            </w: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 xml:space="preserve"> -5 գ</w:t>
            </w:r>
          </w:p>
          <w:p w14:paraId="3F2C1789" w14:textId="25FBF22B" w:rsidR="00AA1356" w:rsidRPr="00E87403" w:rsidRDefault="00AA1356" w:rsidP="00E87403">
            <w:pPr>
              <w:shd w:val="clear" w:color="auto" w:fill="FFFFFF"/>
              <w:textAlignment w:val="center"/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ru-RU"/>
              </w:rPr>
              <w:t xml:space="preserve">Մաքրություն՝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99+% ,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 ս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պիտակ փոշի, բանաձևը՝ C6H8O6, մոլ.զանգվածը՝ 176.12</w:t>
            </w:r>
          </w:p>
          <w:p w14:paraId="4E7CAB01" w14:textId="013096C1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ind w:right="34"/>
              <w:rPr>
                <w:rFonts w:ascii="Sylfaen" w:hAnsi="Sylfaen" w:cs="Arial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N,N,N',N'-տետրամեթիլէթիլենդիամին</w:t>
            </w: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>-3 հատ</w:t>
            </w:r>
          </w:p>
          <w:p w14:paraId="49E25985" w14:textId="7430BC6F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Էմպիրիկ բանաձեւ C6H16N2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ՙ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Մոլային զանգված (M) 116,21 գ/մոլ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ՙ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Խտությունը (D) 0,776 գ/սմ³,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ՙ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≥99 %, քիմիապես մաքուր, էլեկտրոֆորեզի համար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ՙ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25մլ-1 հատ</w:t>
            </w:r>
          </w:p>
          <w:p w14:paraId="5ADFE20D" w14:textId="290DE5F4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ind w:right="34"/>
              <w:rPr>
                <w:rFonts w:ascii="Sylfaen" w:hAnsi="Sylfaen" w:cs="Arial"/>
                <w:b/>
                <w:bCs/>
                <w:sz w:val="20"/>
                <w:lang w:val="hy-AM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Գլիցին- 10կգ</w:t>
            </w:r>
          </w:p>
          <w:p w14:paraId="1B312CFF" w14:textId="7F36A178" w:rsidR="00AA1356" w:rsidRPr="00E87403" w:rsidRDefault="00AA1356" w:rsidP="00E87403">
            <w:pPr>
              <w:ind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Քիմիական բանաձև՝ C2H5NO2 , Մոլեկուլային քաշը՝ 75,07 գ/մոլ</w:t>
            </w:r>
          </w:p>
          <w:p w14:paraId="107DE162" w14:textId="4B5C7A0D" w:rsidR="00AA1356" w:rsidRPr="00E87403" w:rsidRDefault="00AA1356" w:rsidP="00E87403">
            <w:pPr>
              <w:ind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 xml:space="preserve">Սպիտակ բյուրեղային պինդ նյութ է, լուծվում է ջրում, անլուծելի է օրգանական լուծիչներում ինչպիսիք են էթանոլը և եթերը: Սովորաբար օգտագործվում է որպես բուֆեր կենսաքիմիական փորձարկումներում (գելային էլեկտրոֆորեզ): </w:t>
            </w: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CAS Number: 3908.2</w:t>
            </w:r>
          </w:p>
          <w:p w14:paraId="0CFAF1D2" w14:textId="121578E4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ind w:right="34"/>
              <w:rPr>
                <w:rFonts w:ascii="Sylfaen" w:hAnsi="Sylfaen" w:cs="Arial"/>
                <w:b/>
                <w:bCs/>
                <w:sz w:val="20"/>
                <w:lang w:val="hy-AM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Ամոնիումի պերսուլֆատ-10գ</w:t>
            </w:r>
          </w:p>
          <w:p w14:paraId="71494E81" w14:textId="326511B0" w:rsidR="00AA1356" w:rsidRPr="00E87403" w:rsidRDefault="00AA1356" w:rsidP="00E87403">
            <w:pPr>
              <w:spacing w:after="200" w:line="276" w:lineRule="auto"/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lastRenderedPageBreak/>
              <w:t xml:space="preserve">Օգտագործվում է մոլեկուլային կենսաբանության համար, էլեկտրոֆորեզի համար, ≥98%, Գծային բանաձև`(NH4)2S2O8, CAS համարը` </w:t>
            </w: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7727-54-0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 xml:space="preserve">: Մոլեկուլային զանգված`228.20 գ/մոլ, </w:t>
            </w:r>
          </w:p>
          <w:p w14:paraId="15D049A9" w14:textId="77777777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spacing w:after="200" w:line="276" w:lineRule="auto"/>
              <w:ind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Ամոնիումի մոլիբդատ- 1 կգ</w:t>
            </w:r>
          </w:p>
          <w:p w14:paraId="190E12D0" w14:textId="1DB72341" w:rsidR="00AA1356" w:rsidRPr="00E87403" w:rsidRDefault="00AA1356" w:rsidP="00E87403">
            <w:pPr>
              <w:spacing w:after="200" w:line="276" w:lineRule="auto"/>
              <w:ind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քիմիական բանաձևը՝ (NH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₄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)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₆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Mo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₇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O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₂₄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·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4H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₂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 xml:space="preserve">O)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սպիտակ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բյուրեղային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նյութ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է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: Արտաքին տեսք: սպիտակ բյուրեղներ, լավ լուծելի, հալման ջերմաստիճան: մոտ 90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 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°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C (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ջրի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կորստով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), խտությունը՝ մոտ 2.498 գ/սմ³</w:t>
            </w:r>
          </w:p>
          <w:p w14:paraId="54D09CD6" w14:textId="77777777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spacing w:after="200" w:line="276" w:lineRule="auto"/>
              <w:ind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Սպիտակուցային ստանդարտ էլեկտրոֆորեզի համար- 2 հատ</w:t>
            </w:r>
          </w:p>
          <w:p w14:paraId="064AC301" w14:textId="003E556B" w:rsidR="00AA1356" w:rsidRPr="00E87403" w:rsidRDefault="00AA1356" w:rsidP="00E87403">
            <w:pPr>
              <w:spacing w:after="200" w:line="276" w:lineRule="auto"/>
              <w:ind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 xml:space="preserve">սպիտակուցային ստանդարտ SDS-PAGE տեսակի ֆորեզի սպիտակուցային ստանդարտ (Ladder): 10-250կԴա զանգվածով սպիտակուցների շարք՝ գունավոր վիզուալիզացիայի հնարավորությամբ` տարբեր սպիտակուցների պարունակությամբ 1 հատ-500մկլ:  </w:t>
            </w:r>
          </w:p>
          <w:p w14:paraId="51DAB5BD" w14:textId="77777777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spacing w:after="200" w:line="276" w:lineRule="auto"/>
              <w:ind w:right="34"/>
              <w:rPr>
                <w:rFonts w:ascii="Sylfaen" w:hAnsi="Sylfaen" w:cs="Arial"/>
                <w:b/>
                <w:bCs/>
                <w:sz w:val="20"/>
                <w:lang w:val="hy-AM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Տրիսամինո-մեթան-500 գ</w:t>
            </w:r>
          </w:p>
          <w:p w14:paraId="0765877D" w14:textId="725FA2BD" w:rsidR="00AA1356" w:rsidRPr="00E87403" w:rsidRDefault="00AA1356" w:rsidP="00E87403">
            <w:pPr>
              <w:spacing w:after="200" w:line="276" w:lineRule="auto"/>
              <w:ind w:right="34"/>
              <w:rPr>
                <w:rFonts w:ascii="Sylfaen" w:hAnsi="Sylfaen" w:cs="Arial"/>
                <w:b/>
                <w:bCs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Սպիտակ փոշի,</w:t>
            </w: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NH2C(CH2OH)3</w:t>
            </w: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Մոլ.զանգվածը՝121.14գ/մոլ</w:t>
            </w:r>
          </w:p>
          <w:p w14:paraId="3891F6F1" w14:textId="3D641178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ind w:right="34"/>
              <w:rPr>
                <w:rFonts w:ascii="Sylfaen" w:hAnsi="Sylfaen" w:cs="Arial"/>
                <w:b/>
                <w:bCs/>
                <w:sz w:val="20"/>
                <w:lang w:val="hy-AM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ԳԴՖ, Գուանոզին 5՛ երկֆոսֆորական թթվի նատրիումական աղ- 400 մգ</w:t>
            </w:r>
          </w:p>
          <w:p w14:paraId="0B9DDB28" w14:textId="6DF0B7DA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ru-RU"/>
              </w:rPr>
              <w:t xml:space="preserve">Մաքրություն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96%</w:t>
            </w:r>
          </w:p>
          <w:p w14:paraId="4B0A5F17" w14:textId="7FD1033E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ind w:right="34"/>
              <w:rPr>
                <w:rFonts w:ascii="Sylfaen" w:hAnsi="Sylfaen" w:cs="Arial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ՑԵՖ,  Ցիտիդին-5՛-եռֆոսֆորական թթվի նատրիումական աղ</w:t>
            </w: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>-1 գ</w:t>
            </w:r>
          </w:p>
          <w:p w14:paraId="1AA191FF" w14:textId="77777777" w:rsidR="00AA1356" w:rsidRPr="00E87403" w:rsidRDefault="00AA1356" w:rsidP="00E87403">
            <w:pPr>
              <w:ind w:right="34"/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ru-RU"/>
              </w:rPr>
              <w:t xml:space="preserve">Մաքրություն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96%</w:t>
            </w:r>
          </w:p>
          <w:p w14:paraId="78643D56" w14:textId="74323FC9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spacing w:after="200" w:line="276" w:lineRule="auto"/>
              <w:ind w:right="34"/>
              <w:rPr>
                <w:rFonts w:ascii="Sylfaen" w:hAnsi="Sylfaen" w:cs="Arial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Մեթանոլ HPLC</w:t>
            </w: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>-5լ</w:t>
            </w:r>
          </w:p>
          <w:p w14:paraId="6CA3766F" w14:textId="59F327B1" w:rsidR="00AA1356" w:rsidRPr="00E87403" w:rsidRDefault="00AA1356" w:rsidP="00E87403">
            <w:pPr>
              <w:shd w:val="clear" w:color="auto" w:fill="FFFFFF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Քիմիական բանաձև՝ CH3OH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Մոլեկուլային քաշը՝ 32,04 գ/մոլ</w:t>
            </w:r>
          </w:p>
          <w:p w14:paraId="56037C68" w14:textId="77777777" w:rsidR="00AA1356" w:rsidRPr="00E87403" w:rsidRDefault="00AA1356" w:rsidP="00E87403">
            <w:pPr>
              <w:shd w:val="clear" w:color="auto" w:fill="FFFFFF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Թափանցիկ, անգույն հեղուկ է,ունի մի փոքր քաղցր, սուր ալկոհոլի հոտ:</w:t>
            </w:r>
          </w:p>
          <w:p w14:paraId="4B1061E2" w14:textId="3A5E90EF" w:rsidR="00AA1356" w:rsidRPr="00E87403" w:rsidRDefault="00AA1356" w:rsidP="00E87403">
            <w:pPr>
              <w:shd w:val="clear" w:color="auto" w:fill="FFFFFF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Եռման կետ՝ 64,7°C (148,5°F), Հալման կետ՝ -97,6°C (-143,7°F)</w:t>
            </w:r>
          </w:p>
          <w:p w14:paraId="51B8489E" w14:textId="13F15D36" w:rsidR="00AA1356" w:rsidRPr="00E87403" w:rsidRDefault="00AA1356" w:rsidP="00E87403">
            <w:pPr>
              <w:shd w:val="clear" w:color="auto" w:fill="FFFFFF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Խտությունը՝ 0,7918 գ/սմ³ (20°C-ում), Լիովին խառնվում է ջրի և շատ օրգանական լուծիչների հետ, ինչպիսիք ենէթանոլը, ացետոնը և եթերը:</w:t>
            </w:r>
          </w:p>
          <w:p w14:paraId="1ADCD988" w14:textId="77777777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spacing w:after="200" w:line="276" w:lineRule="auto"/>
              <w:ind w:right="34"/>
              <w:rPr>
                <w:rFonts w:ascii="Sylfaen" w:hAnsi="Sylfaen" w:cs="Arial"/>
                <w:b/>
                <w:bCs/>
                <w:sz w:val="20"/>
                <w:lang w:val="hy-AM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ՑԿՖ-1 գ</w:t>
            </w:r>
          </w:p>
          <w:p w14:paraId="6CB0E2E8" w14:textId="7159BE0C" w:rsidR="00AA1356" w:rsidRPr="00E87403" w:rsidRDefault="00AA1356" w:rsidP="00E87403">
            <w:pPr>
              <w:spacing w:after="200" w:line="276" w:lineRule="auto"/>
              <w:ind w:right="34"/>
              <w:rPr>
                <w:rFonts w:ascii="Sylfaen" w:hAnsi="Sylfaen" w:cs="Arial"/>
                <w:b/>
                <w:bCs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Սպիտակ փոշի, մոլեկուլային զանգվածը՝ 403.2գ/մոլ C 9 H 16 N 3 O 11 P 2 Na . 2H 2 O</w:t>
            </w:r>
          </w:p>
          <w:p w14:paraId="0318B810" w14:textId="07A46D27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spacing w:after="200" w:line="276" w:lineRule="auto"/>
              <w:ind w:right="34"/>
              <w:rPr>
                <w:rFonts w:ascii="Sylfaen" w:hAnsi="Sylfaen" w:cs="Arial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lastRenderedPageBreak/>
              <w:t>ԵՔՔ</w:t>
            </w: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>-1կգ</w:t>
            </w:r>
          </w:p>
          <w:p w14:paraId="4F815453" w14:textId="77777777" w:rsidR="00AA1356" w:rsidRPr="00E87403" w:rsidRDefault="00AA1356" w:rsidP="00E87403">
            <w:pPr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Քիմիական բանաձևը՝ C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₂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HCl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₃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O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₂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,  օրգանական միացություն է: Արտաքին տեսքը՝ սպիտակ բյուրեղներ կամ բյուրեղային փոշի, հալման ջերմաստիճան: 57-58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 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°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C, եռման ջերմաստիճան: 196-197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 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°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C, խտություն: 1.49 գ/սմ³ (20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 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°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C-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ում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), լավ լուծելի</w:t>
            </w:r>
          </w:p>
          <w:p w14:paraId="6A4D9377" w14:textId="77777777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spacing w:after="200" w:line="276" w:lineRule="auto"/>
              <w:ind w:right="34"/>
              <w:rPr>
                <w:rFonts w:ascii="Sylfaen" w:hAnsi="Sylfaen" w:cs="Arial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ԱԿՖ</w:t>
            </w: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>-2գ</w:t>
            </w:r>
          </w:p>
          <w:p w14:paraId="4CD66161" w14:textId="1B1AB2E4" w:rsidR="00AA1356" w:rsidRPr="00E87403" w:rsidRDefault="00AA1356" w:rsidP="00E87403">
            <w:pPr>
              <w:spacing w:after="200" w:line="276" w:lineRule="auto"/>
              <w:ind w:right="34"/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ru-RU"/>
              </w:rPr>
              <w:t xml:space="preserve">Մաքրություն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96%</w:t>
            </w:r>
          </w:p>
          <w:p w14:paraId="0914647C" w14:textId="19F43010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spacing w:after="200" w:line="276" w:lineRule="auto"/>
              <w:ind w:right="34"/>
              <w:rPr>
                <w:rFonts w:ascii="Sylfaen" w:hAnsi="Sylfaen" w:cs="Arial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>Ցլի շիճուկի ալբումին-10 գ</w:t>
            </w:r>
          </w:p>
          <w:p w14:paraId="261A660E" w14:textId="7EB07F03" w:rsidR="00AA1356" w:rsidRPr="00E87403" w:rsidRDefault="00AA1356" w:rsidP="00E87403">
            <w:pPr>
              <w:spacing w:after="200" w:line="276" w:lineRule="auto"/>
              <w:ind w:right="34"/>
              <w:rPr>
                <w:rFonts w:ascii="Sylfaen" w:hAnsi="Sylfaen" w:cs="Arial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ru-RU"/>
              </w:rPr>
              <w:t xml:space="preserve">մոնոմերային սպիտակուց է, որը կազմված է 66,5 կԴա մոլեկուլային քաշով ամինաթթուների մեկ շղթայից:BSA-ն սովորաբար օգտագործվում է լաբորատորիաներում որպես հավելում կենսաքիմիական և հյուսվածքային կուլտուրայի միջավայրում: </w:t>
            </w:r>
            <w:r w:rsidRPr="00E87403">
              <w:rPr>
                <w:rFonts w:ascii="Sylfaen" w:hAnsi="Sylfaen" w:cs="Arial"/>
                <w:b/>
                <w:bCs/>
                <w:sz w:val="20"/>
              </w:rPr>
              <w:t>CAS</w:t>
            </w: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 xml:space="preserve"> </w:t>
            </w:r>
            <w:r w:rsidRPr="00E87403">
              <w:rPr>
                <w:rFonts w:ascii="Sylfaen" w:hAnsi="Sylfaen" w:cs="Arial"/>
                <w:b/>
                <w:bCs/>
                <w:sz w:val="20"/>
              </w:rPr>
              <w:t>Number</w:t>
            </w: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 xml:space="preserve">: </w:t>
            </w:r>
            <w:hyperlink r:id="rId8" w:history="1">
              <w:r w:rsidRPr="00E87403">
                <w:rPr>
                  <w:rStyle w:val="Hyperlink"/>
                  <w:rFonts w:ascii="Sylfaen" w:hAnsi="Sylfaen" w:cs="Arial"/>
                  <w:b/>
                  <w:bCs/>
                  <w:color w:val="auto"/>
                  <w:sz w:val="20"/>
                  <w:u w:val="none"/>
                  <w:lang w:val="ru-RU"/>
                </w:rPr>
                <w:t>9048-46-8</w:t>
              </w:r>
            </w:hyperlink>
          </w:p>
          <w:p w14:paraId="5DB7170C" w14:textId="77777777" w:rsidR="00AA1356" w:rsidRDefault="00AA1356" w:rsidP="00E87403">
            <w:pPr>
              <w:spacing w:after="200" w:line="276" w:lineRule="auto"/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ru-RU"/>
              </w:rPr>
              <w:t xml:space="preserve">Սարքը և քիմիական նյութերը պետք է լինեն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:</w:t>
            </w:r>
          </w:p>
          <w:p w14:paraId="4F421976" w14:textId="0A11C1B5" w:rsidR="00536A77" w:rsidRPr="00816AAE" w:rsidRDefault="00536A77" w:rsidP="00E87403">
            <w:pPr>
              <w:spacing w:after="200" w:line="276" w:lineRule="auto"/>
              <w:rPr>
                <w:rFonts w:ascii="Sylfaen" w:hAnsi="Sylfaen" w:cs="Arial"/>
                <w:sz w:val="20"/>
                <w:lang w:val="ru-RU"/>
              </w:rPr>
            </w:pPr>
            <w:r>
              <w:rPr>
                <w:rFonts w:ascii="Sylfaen" w:hAnsi="Sylfaen" w:cs="Arial"/>
                <w:sz w:val="20"/>
              </w:rPr>
              <w:t>Տվյալ</w:t>
            </w:r>
            <w:r w:rsidRPr="00536A77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r>
              <w:rPr>
                <w:rFonts w:ascii="Sylfaen" w:hAnsi="Sylfaen" w:cs="Arial"/>
                <w:sz w:val="20"/>
              </w:rPr>
              <w:t>սարքը</w:t>
            </w:r>
            <w:r w:rsidRPr="00536A77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r>
              <w:rPr>
                <w:rFonts w:ascii="Sylfaen" w:hAnsi="Sylfaen" w:cs="Arial"/>
                <w:sz w:val="20"/>
              </w:rPr>
              <w:t>պետք</w:t>
            </w:r>
            <w:r w:rsidRPr="00536A77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r>
              <w:rPr>
                <w:rFonts w:ascii="Sylfaen" w:hAnsi="Sylfaen" w:cs="Arial"/>
                <w:sz w:val="20"/>
              </w:rPr>
              <w:t>է</w:t>
            </w:r>
            <w:r w:rsidRPr="00536A77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r>
              <w:rPr>
                <w:rFonts w:ascii="Sylfaen" w:hAnsi="Sylfaen" w:cs="Arial"/>
                <w:sz w:val="20"/>
              </w:rPr>
              <w:t>արտադրված</w:t>
            </w:r>
            <w:r w:rsidRPr="00536A77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r w:rsidR="009C5161">
              <w:rPr>
                <w:rFonts w:ascii="Sylfaen" w:hAnsi="Sylfaen" w:cs="Arial"/>
                <w:sz w:val="20"/>
              </w:rPr>
              <w:t>լինի</w:t>
            </w:r>
            <w:r w:rsidR="006C4730">
              <w:rPr>
                <w:rFonts w:ascii="Sylfaen" w:hAnsi="Sylfaen" w:cs="Arial"/>
                <w:sz w:val="20"/>
              </w:rPr>
              <w:t>՝</w:t>
            </w:r>
            <w:r w:rsidR="006C4730" w:rsidRPr="006C4730">
              <w:rPr>
                <w:rFonts w:ascii="Arial" w:hAnsi="Arial" w:cs="Arial"/>
                <w:color w:val="222222"/>
                <w:shd w:val="clear" w:color="auto" w:fill="FFFFFF"/>
                <w:lang w:val="ru-RU"/>
              </w:rPr>
              <w:t xml:space="preserve"> </w:t>
            </w:r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</w:rPr>
              <w:t>Opsytec</w:t>
            </w:r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  <w:lang w:val="ru-RU"/>
              </w:rPr>
              <w:t xml:space="preserve"> </w:t>
            </w:r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</w:rPr>
              <w:t>Dr</w:t>
            </w:r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  <w:lang w:val="ru-RU"/>
              </w:rPr>
              <w:t xml:space="preserve">. </w:t>
            </w:r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</w:rPr>
              <w:t>Gr</w:t>
            </w:r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  <w:lang w:val="ru-RU"/>
              </w:rPr>
              <w:t>ö</w:t>
            </w:r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</w:rPr>
              <w:t>bel</w:t>
            </w:r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  <w:lang w:val="ru-RU"/>
              </w:rPr>
              <w:t xml:space="preserve"> </w:t>
            </w:r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</w:rPr>
              <w:t>GmbH</w:t>
            </w:r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  <w:lang w:val="ru-RU"/>
              </w:rPr>
              <w:t xml:space="preserve">, </w:t>
            </w:r>
            <w:r w:rsidR="006C4730" w:rsidRPr="006C4730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</w:rPr>
              <w:t>Analytik</w:t>
            </w:r>
            <w:r w:rsidR="006C4730" w:rsidRPr="006C4730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  <w:lang w:val="ru-RU"/>
              </w:rPr>
              <w:t xml:space="preserve"> </w:t>
            </w:r>
            <w:r w:rsidR="006C4730" w:rsidRPr="006C4730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</w:rPr>
              <w:t>Jena</w:t>
            </w:r>
            <w:r w:rsidR="006C4730" w:rsidRPr="006C4730">
              <w:rPr>
                <w:rFonts w:ascii="Sylfaen" w:hAnsi="Sylfaen" w:cs="Arial"/>
                <w:b/>
                <w:color w:val="222222"/>
                <w:shd w:val="clear" w:color="auto" w:fill="FFFFFF"/>
                <w:lang w:val="ru-RU"/>
              </w:rPr>
              <w:t xml:space="preserve">, </w:t>
            </w:r>
            <w:r w:rsidR="006C4730" w:rsidRPr="006C4730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</w:rPr>
              <w:t>UVP</w:t>
            </w:r>
            <w:r w:rsidR="006C4730" w:rsidRPr="006C4730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  <w:lang w:val="ru-RU"/>
              </w:rPr>
              <w:t xml:space="preserve">, </w:t>
            </w:r>
            <w:r w:rsidR="006C4730" w:rsidRPr="006C4730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</w:rPr>
              <w:t>LLC</w:t>
            </w:r>
            <w:r w:rsidR="00816AAE" w:rsidRPr="00816AAE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  <w:lang w:val="ru-RU"/>
              </w:rPr>
              <w:t xml:space="preserve"> </w:t>
            </w:r>
            <w:r w:rsidR="00816AAE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</w:rPr>
              <w:t>արտադրողների</w:t>
            </w:r>
            <w:r w:rsidR="00816AAE" w:rsidRPr="00816AAE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  <w:lang w:val="ru-RU"/>
              </w:rPr>
              <w:t xml:space="preserve"> </w:t>
            </w:r>
            <w:r w:rsidR="00816AAE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</w:rPr>
              <w:t>կողմից</w:t>
            </w:r>
            <w:r w:rsidR="00816AAE" w:rsidRPr="00816AAE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  <w:lang w:val="ru-RU"/>
              </w:rPr>
              <w:t>:</w:t>
            </w:r>
            <w:bookmarkStart w:id="0" w:name="_GoBack"/>
            <w:bookmarkEnd w:id="0"/>
          </w:p>
        </w:tc>
        <w:tc>
          <w:tcPr>
            <w:tcW w:w="620" w:type="dxa"/>
          </w:tcPr>
          <w:p w14:paraId="2D6AC7AD" w14:textId="4EA0B62B" w:rsidR="00AA1356" w:rsidRPr="00E87403" w:rsidRDefault="00AA1356" w:rsidP="00E87403">
            <w:pPr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ru-RU"/>
              </w:rPr>
              <w:lastRenderedPageBreak/>
              <w:t>հատ</w:t>
            </w:r>
          </w:p>
        </w:tc>
        <w:tc>
          <w:tcPr>
            <w:tcW w:w="567" w:type="dxa"/>
          </w:tcPr>
          <w:p w14:paraId="2009DF0D" w14:textId="4CDD37C6" w:rsidR="00AA1356" w:rsidRPr="00E87403" w:rsidRDefault="00AA1356" w:rsidP="00E87403">
            <w:pPr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ru-RU"/>
              </w:rPr>
              <w:t>1</w:t>
            </w:r>
          </w:p>
        </w:tc>
        <w:tc>
          <w:tcPr>
            <w:tcW w:w="708" w:type="dxa"/>
          </w:tcPr>
          <w:p w14:paraId="35BEA6E0" w14:textId="78F2A1C0" w:rsidR="00AA1356" w:rsidRPr="00E87403" w:rsidRDefault="00AA1356" w:rsidP="00E87403">
            <w:pPr>
              <w:tabs>
                <w:tab w:val="left" w:pos="0"/>
              </w:tabs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Ալեք Մանուկյան 1/3</w:t>
            </w:r>
          </w:p>
          <w:p w14:paraId="49E1AB76" w14:textId="77777777" w:rsidR="00AA1356" w:rsidRPr="00E87403" w:rsidRDefault="00AA1356" w:rsidP="00E87403">
            <w:pPr>
              <w:rPr>
                <w:rFonts w:ascii="Sylfaen" w:hAnsi="Sylfaen" w:cs="Arial"/>
                <w:sz w:val="20"/>
                <w:lang w:val="hy-AM"/>
              </w:rPr>
            </w:pPr>
          </w:p>
        </w:tc>
        <w:tc>
          <w:tcPr>
            <w:tcW w:w="2570" w:type="dxa"/>
          </w:tcPr>
          <w:p w14:paraId="717BA1A2" w14:textId="7D721066" w:rsidR="00AA1356" w:rsidRPr="00E87403" w:rsidRDefault="00AA1356" w:rsidP="00E87403">
            <w:pPr>
              <w:rPr>
                <w:rFonts w:ascii="Sylfaen" w:hAnsi="Sylfaen"/>
                <w:bCs/>
                <w:sz w:val="20"/>
                <w:lang w:val="hy-AM"/>
              </w:rPr>
            </w:pPr>
            <w:r w:rsidRPr="00E87403">
              <w:rPr>
                <w:rFonts w:ascii="Sylfaen" w:hAnsi="Sylfaen"/>
                <w:bCs/>
                <w:sz w:val="20"/>
                <w:lang w:val="hy-AM"/>
              </w:rPr>
              <w:t>Պայմանագիրը կնքելուց հետո 6 ամսվա ընթացքում</w:t>
            </w:r>
          </w:p>
        </w:tc>
      </w:tr>
      <w:tr w:rsidR="00AA1356" w:rsidRPr="00816AAE" w14:paraId="700111BC" w14:textId="77777777" w:rsidTr="00E87403">
        <w:trPr>
          <w:trHeight w:val="358"/>
        </w:trPr>
        <w:tc>
          <w:tcPr>
            <w:tcW w:w="543" w:type="dxa"/>
          </w:tcPr>
          <w:p w14:paraId="11C28105" w14:textId="77777777" w:rsidR="00AA1356" w:rsidRPr="00E87403" w:rsidRDefault="00AA1356" w:rsidP="00E87403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Sylfaen" w:hAnsi="Sylfaen"/>
                <w:color w:val="262626" w:themeColor="text1" w:themeTint="D9"/>
                <w:sz w:val="20"/>
                <w:lang w:val="hy-AM"/>
              </w:rPr>
            </w:pPr>
          </w:p>
        </w:tc>
        <w:tc>
          <w:tcPr>
            <w:tcW w:w="1453" w:type="dxa"/>
            <w:gridSpan w:val="2"/>
          </w:tcPr>
          <w:p w14:paraId="1D03101D" w14:textId="77777777" w:rsidR="00AA1356" w:rsidRPr="00E87403" w:rsidRDefault="00AA1356" w:rsidP="00E87403">
            <w:pPr>
              <w:rPr>
                <w:rFonts w:ascii="Sylfaen" w:hAnsi="Sylfaen" w:cs="Calibri"/>
                <w:color w:val="37474F"/>
                <w:sz w:val="20"/>
                <w:lang w:eastAsia="en-US"/>
              </w:rPr>
            </w:pPr>
            <w:r w:rsidRPr="00E87403">
              <w:rPr>
                <w:rFonts w:ascii="Sylfaen" w:hAnsi="Sylfaen" w:cs="Calibri"/>
                <w:color w:val="37474F"/>
                <w:sz w:val="20"/>
                <w:lang w:val="hy-AM"/>
              </w:rPr>
              <w:br/>
            </w:r>
            <w:r w:rsidRPr="00E87403">
              <w:rPr>
                <w:rFonts w:ascii="Sylfaen" w:hAnsi="Sylfaen" w:cs="Calibri"/>
                <w:color w:val="37474F"/>
                <w:sz w:val="20"/>
              </w:rPr>
              <w:t>38591200/44</w:t>
            </w:r>
          </w:p>
          <w:p w14:paraId="6DDC4B45" w14:textId="77777777" w:rsidR="00AA1356" w:rsidRPr="00E87403" w:rsidRDefault="00AA1356" w:rsidP="00E87403">
            <w:pPr>
              <w:rPr>
                <w:rFonts w:ascii="Sylfaen" w:hAnsi="Sylfaen"/>
                <w:sz w:val="20"/>
                <w:highlight w:val="yellow"/>
                <w:lang w:val="hy-AM"/>
              </w:rPr>
            </w:pPr>
          </w:p>
        </w:tc>
        <w:tc>
          <w:tcPr>
            <w:tcW w:w="1585" w:type="dxa"/>
          </w:tcPr>
          <w:p w14:paraId="37408795" w14:textId="6E1E1042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Ցենտրիֆուգ իր ռոտորներով</w:t>
            </w:r>
          </w:p>
        </w:tc>
        <w:tc>
          <w:tcPr>
            <w:tcW w:w="6871" w:type="dxa"/>
          </w:tcPr>
          <w:p w14:paraId="77520AAB" w14:textId="77777777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/>
                <w:noProof/>
                <w:sz w:val="20"/>
                <w:lang w:eastAsia="en-US"/>
              </w:rPr>
              <w:drawing>
                <wp:inline distT="0" distB="0" distL="0" distR="0" wp14:anchorId="2C4B57A6" wp14:editId="616E37D8">
                  <wp:extent cx="1224716" cy="1224716"/>
                  <wp:effectExtent l="0" t="0" r="0" b="0"/>
                  <wp:docPr id="6" name="Picture 6" descr="High-Speed Zentrifugen – Herm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igh-Speed Zentrifugen – Herm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1440" cy="1231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BAFF042" w14:textId="77777777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</w:p>
          <w:p w14:paraId="57A10112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230V սառեցվող գերարագ լաբորատոր ցենտրիֆուգ (Hermle, Eppendorf  կամ Thermo Fisher) իրեն համապատասխան ռոտորներով։ Արագության միջակայքը առնվազն 200 </w:t>
            </w:r>
            <w:r w:rsidRPr="00E87403">
              <w:rPr>
                <w:rFonts w:ascii="Sylfaen" w:hAnsi="Sylfaen"/>
                <w:sz w:val="20"/>
                <w:lang w:val="hy-AM"/>
              </w:rPr>
              <w:t xml:space="preserve">և առավելագույնը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16000 պտ/ր։ Առավելագույն արագացումը մինչև 27000xg է, իսկ առավելագույն տարողությունը՝ առնվազն                                                                                                                  4 x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lastRenderedPageBreak/>
              <w:t xml:space="preserve">750 մլ։ Ջերմաստիճանային տիրույթը՝ -20 </w:t>
            </w:r>
            <w:r w:rsidRPr="00E87403">
              <w:rPr>
                <w:rFonts w:ascii="Sylfaen" w:hAnsi="Sylfaen" w:cs="Sylfaen"/>
                <w:sz w:val="20"/>
                <w:vertAlign w:val="superscript"/>
                <w:lang w:val="hy-AM"/>
              </w:rPr>
              <w:t>օ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C-40 </w:t>
            </w:r>
            <w:r w:rsidRPr="00E87403">
              <w:rPr>
                <w:rFonts w:ascii="Sylfaen" w:hAnsi="Sylfaen" w:cs="Sylfaen"/>
                <w:sz w:val="20"/>
                <w:vertAlign w:val="superscript"/>
                <w:lang w:val="hy-AM"/>
              </w:rPr>
              <w:t>օ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C։ Չափերը՝ 70-73 x 60-67 x 35-39 սմ։ Քաշը՝ 111±5 կգ։ Սնուցումը՝ 230 Վ, 50-60 Հց։</w:t>
            </w:r>
          </w:p>
          <w:p w14:paraId="56B2FB5C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Ներառում է երկու ռոտորներ՝</w:t>
            </w:r>
          </w:p>
          <w:p w14:paraId="2B61E0E0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Առաջինը </w:t>
            </w:r>
            <w:r w:rsidRPr="00E87403">
              <w:rPr>
                <w:rFonts w:ascii="Sylfaen" w:hAnsi="Sylfaen" w:cs="Sylfaen"/>
                <w:b/>
                <w:sz w:val="20"/>
                <w:lang w:val="hy-AM"/>
              </w:rPr>
              <w:t>4x500 մլ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 անկյունային ռոտոր  համար առավելագույնը 8000 պտ/ր, մինչև 11000xg, անկյունը՝ 24±1 °, շառավիղը 14,5 սմ և երկրորդ </w:t>
            </w:r>
            <w:r w:rsidRPr="00E87403">
              <w:rPr>
                <w:rFonts w:ascii="Sylfaen" w:hAnsi="Sylfaen" w:cs="Sylfaen"/>
                <w:b/>
                <w:sz w:val="20"/>
                <w:lang w:val="hy-AM"/>
              </w:rPr>
              <w:t xml:space="preserve">10x50 մլ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ռոտոր, առավելագույնը 10500 պտ/ր, մինչև 16500xg, շառավիղ՝ 13±1 սմ, տարայի առավելագույն տրամագիծը՝ 29 մմ։ Երաշխիքը մատակարարումից հետո 1 տարի։</w:t>
            </w:r>
          </w:p>
          <w:p w14:paraId="419E4029" w14:textId="64FCACCB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Մատակարարումը և տեղադրումը  իրականացվում է մատակարարի կողմից նախապես պայմանավորվելով պատվիրատուի հետ։ Ապրանքը պետք է լինի նոր և չօգտագործված, չպարունակի կիսամաշ և վնասված դետալներ։ Առկա է արտադրողի հավաստագիր։ Պետք է ունենա ISO 9001:2015, ISO 13485:2016-08, ISO14971:2013-04, EN61010-2-020:20174 IVD 98/79/EC։</w:t>
            </w:r>
          </w:p>
        </w:tc>
        <w:tc>
          <w:tcPr>
            <w:tcW w:w="620" w:type="dxa"/>
            <w:vAlign w:val="center"/>
          </w:tcPr>
          <w:p w14:paraId="6F104759" w14:textId="2E784E98" w:rsidR="00AA1356" w:rsidRPr="00E87403" w:rsidRDefault="00AA1356" w:rsidP="00E87403">
            <w:pPr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lastRenderedPageBreak/>
              <w:t>Հատ</w:t>
            </w:r>
          </w:p>
        </w:tc>
        <w:tc>
          <w:tcPr>
            <w:tcW w:w="567" w:type="dxa"/>
            <w:vAlign w:val="center"/>
          </w:tcPr>
          <w:p w14:paraId="32C03C76" w14:textId="4EDFD294" w:rsidR="00AA1356" w:rsidRPr="00E87403" w:rsidRDefault="00AA1356" w:rsidP="00E87403">
            <w:pPr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1</w:t>
            </w:r>
          </w:p>
        </w:tc>
        <w:tc>
          <w:tcPr>
            <w:tcW w:w="708" w:type="dxa"/>
            <w:vAlign w:val="center"/>
          </w:tcPr>
          <w:p w14:paraId="50B3DAFB" w14:textId="77777777" w:rsidR="00AA1356" w:rsidRPr="00E87403" w:rsidRDefault="00AA1356" w:rsidP="00E87403">
            <w:pPr>
              <w:tabs>
                <w:tab w:val="left" w:pos="0"/>
              </w:tabs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Ալեք Մանուկյան 1/3</w:t>
            </w:r>
          </w:p>
          <w:p w14:paraId="13DC5383" w14:textId="69C549FA" w:rsidR="00AA1356" w:rsidRPr="00E87403" w:rsidRDefault="00AA1356" w:rsidP="00E87403">
            <w:pPr>
              <w:tabs>
                <w:tab w:val="left" w:pos="0"/>
              </w:tabs>
              <w:rPr>
                <w:rFonts w:ascii="Sylfaen" w:hAnsi="Sylfaen" w:cs="Arial"/>
                <w:sz w:val="20"/>
                <w:lang w:val="hy-AM"/>
              </w:rPr>
            </w:pPr>
          </w:p>
        </w:tc>
        <w:tc>
          <w:tcPr>
            <w:tcW w:w="2570" w:type="dxa"/>
          </w:tcPr>
          <w:p w14:paraId="067C7780" w14:textId="43267917" w:rsidR="00AA1356" w:rsidRPr="00E87403" w:rsidRDefault="00AA1356" w:rsidP="00E87403">
            <w:pPr>
              <w:rPr>
                <w:rFonts w:ascii="Sylfaen" w:hAnsi="Sylfaen"/>
                <w:bCs/>
                <w:sz w:val="20"/>
                <w:lang w:val="hy-AM"/>
              </w:rPr>
            </w:pPr>
            <w:r w:rsidRPr="00E87403">
              <w:rPr>
                <w:rFonts w:ascii="Sylfaen" w:hAnsi="Sylfaen"/>
                <w:bCs/>
                <w:sz w:val="20"/>
                <w:lang w:val="hy-AM"/>
              </w:rPr>
              <w:t>Պայմանագիրը կնքելուց հետո 6 ամսվա ընթացքում</w:t>
            </w:r>
          </w:p>
        </w:tc>
      </w:tr>
      <w:tr w:rsidR="00AA1356" w:rsidRPr="00E87403" w14:paraId="4F5965B9" w14:textId="77777777" w:rsidTr="00E87403">
        <w:trPr>
          <w:trHeight w:val="358"/>
        </w:trPr>
        <w:tc>
          <w:tcPr>
            <w:tcW w:w="543" w:type="dxa"/>
          </w:tcPr>
          <w:p w14:paraId="6F410D3E" w14:textId="77777777" w:rsidR="00AA1356" w:rsidRPr="00E87403" w:rsidRDefault="00AA1356" w:rsidP="00E87403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Sylfaen" w:hAnsi="Sylfaen"/>
                <w:color w:val="262626" w:themeColor="text1" w:themeTint="D9"/>
                <w:sz w:val="20"/>
                <w:lang w:val="hy-AM"/>
              </w:rPr>
            </w:pPr>
          </w:p>
        </w:tc>
        <w:tc>
          <w:tcPr>
            <w:tcW w:w="1453" w:type="dxa"/>
            <w:gridSpan w:val="2"/>
          </w:tcPr>
          <w:p w14:paraId="2DA608F9" w14:textId="3A0302B4" w:rsidR="00AA1356" w:rsidRPr="00E87403" w:rsidRDefault="00AA1356" w:rsidP="00E87403">
            <w:pPr>
              <w:rPr>
                <w:rFonts w:ascii="Sylfaen" w:hAnsi="Sylfaen"/>
                <w:sz w:val="20"/>
                <w:highlight w:val="yellow"/>
                <w:lang w:val="hy-AM"/>
              </w:rPr>
            </w:pPr>
            <w:r w:rsidRPr="00E87403">
              <w:rPr>
                <w:rFonts w:ascii="Sylfaen" w:hAnsi="Sylfaen" w:cs="Calibri"/>
                <w:color w:val="37474F"/>
                <w:sz w:val="20"/>
                <w:shd w:val="clear" w:color="auto" w:fill="FFFFFF"/>
              </w:rPr>
              <w:t>38591200/45</w:t>
            </w:r>
          </w:p>
        </w:tc>
        <w:tc>
          <w:tcPr>
            <w:tcW w:w="1585" w:type="dxa"/>
          </w:tcPr>
          <w:p w14:paraId="55B2FF43" w14:textId="2631541A" w:rsidR="00AA1356" w:rsidRPr="00E87403" w:rsidRDefault="00AA1356" w:rsidP="00E87403">
            <w:pPr>
              <w:ind w:left="34"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Բազմագործառույթային միկրոպլանշետային սպեկտրալուսաչափ` իր լրակազմով և պարագաներով</w:t>
            </w:r>
          </w:p>
        </w:tc>
        <w:tc>
          <w:tcPr>
            <w:tcW w:w="6871" w:type="dxa"/>
            <w:vAlign w:val="center"/>
          </w:tcPr>
          <w:p w14:paraId="6F4DD18C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Հավաքածուն ներառում է՝</w:t>
            </w:r>
          </w:p>
          <w:p w14:paraId="176CCAC4" w14:textId="77777777" w:rsidR="00AA1356" w:rsidRPr="00E87403" w:rsidRDefault="00AA1356" w:rsidP="00E8740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Բազմագործառույթային միկրոպլանշետային սպեկտրալուսաչափ՝ ներառված մեկ հատ էքստինկցիայի ‘’xA’’ ֆիլտր սլայդ, մեկ հատ 450 նմ և 485 նմ ֆիլտրեր պարունակող էմիսոն ‘’mA’’ ֆիլտր սլայդ, մեկ հատ 535 նմ ֆիլտր պարունակող և 15 մմ, սև ադապտեր շրջանակ, մեկ հատ 20 մմ, կարմիր շրջանակ և մեկ հատ երևակման և լվալու միկրոպլանշետ, ինչպես նաև հավելյալ 3 ներարկիչներ, Compass® համակարգչային ծրագիրը </w:t>
            </w:r>
          </w:p>
          <w:p w14:paraId="43AB920D" w14:textId="77777777" w:rsidR="00AA1356" w:rsidRPr="00E87403" w:rsidRDefault="00AA1356" w:rsidP="00E8740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80 հատ սպիտակ միկրոպլանշետներ, անթափանց հատակով </w:t>
            </w:r>
          </w:p>
          <w:p w14:paraId="280ED630" w14:textId="77777777" w:rsidR="00AA1356" w:rsidRPr="00E87403" w:rsidRDefault="00AA1356" w:rsidP="00E8740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40 հատ սպիտակ միկրոպլանշետներ, թափանցիկ հատակով</w:t>
            </w:r>
          </w:p>
          <w:p w14:paraId="5C3BC4A1" w14:textId="77777777" w:rsidR="00AA1356" w:rsidRPr="00E87403" w:rsidRDefault="00AA1356" w:rsidP="00E8740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80 հատ սև միկրոպլանշետներ՝ անթափանց հատակով </w:t>
            </w:r>
          </w:p>
          <w:p w14:paraId="7BF3427B" w14:textId="77777777" w:rsidR="00AA1356" w:rsidRPr="00E87403" w:rsidRDefault="00AA1356" w:rsidP="00E8740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80 հատ սև միկրոպլանշետներ՝ թափանցիկ հատակով </w:t>
            </w:r>
          </w:p>
          <w:p w14:paraId="3E4A5B66" w14:textId="77777777" w:rsidR="00AA1356" w:rsidRPr="00E87403" w:rsidRDefault="00AA1356" w:rsidP="00E87403">
            <w:pPr>
              <w:rPr>
                <w:rFonts w:ascii="Sylfaen" w:hAnsi="Sylfaen" w:cs="Sylfaen"/>
                <w:b/>
                <w:sz w:val="20"/>
                <w:lang w:val="hy-AM"/>
              </w:rPr>
            </w:pPr>
          </w:p>
          <w:p w14:paraId="45A1357E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b/>
                <w:sz w:val="20"/>
                <w:lang w:val="hy-AM"/>
              </w:rPr>
              <w:t>Բազմագործառույթային միկրոպլանշետային սպեկտրալուսաչափը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 պետք է լինի BERTHOLD Tristar 3, Molecular Devices SpectraMax iD5 կամ Tecan Infinite Pro 200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</w:p>
          <w:p w14:paraId="548DE9A8" w14:textId="77777777" w:rsidR="00AA1356" w:rsidRPr="00E87403" w:rsidRDefault="00AA1356" w:rsidP="00E87403">
            <w:pPr>
              <w:pStyle w:val="NormalWeb"/>
              <w:spacing w:before="0" w:beforeAutospacing="0" w:after="0" w:afterAutospacing="0"/>
              <w:rPr>
                <w:rFonts w:ascii="Sylfaen" w:hAnsi="Sylfaen"/>
                <w:sz w:val="20"/>
                <w:szCs w:val="20"/>
                <w:lang w:val="hy-AM"/>
              </w:rPr>
            </w:pPr>
            <w:r w:rsidRPr="00E87403">
              <w:rPr>
                <w:rFonts w:ascii="Sylfaen" w:hAnsi="Sylfaen"/>
                <w:noProof/>
                <w:sz w:val="20"/>
                <w:szCs w:val="20"/>
              </w:rPr>
              <w:lastRenderedPageBreak/>
              <w:drawing>
                <wp:inline distT="0" distB="0" distL="0" distR="0" wp14:anchorId="64E18A99" wp14:editId="3B8EFB7B">
                  <wp:extent cx="1759788" cy="1973748"/>
                  <wp:effectExtent l="0" t="0" r="0" b="7620"/>
                  <wp:docPr id="1509766585" name="Picture 1509766585" descr="C:\Users\Comp\Desktop\Anahit\Untitl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omp\Desktop\Anahit\Untitle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4396" cy="2001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49A56D" w14:textId="77777777" w:rsidR="00AA1356" w:rsidRPr="00E87403" w:rsidRDefault="00AA1356" w:rsidP="00E87403">
            <w:pPr>
              <w:pStyle w:val="NormalWeb"/>
              <w:spacing w:before="0" w:beforeAutospacing="0" w:after="0" w:afterAutospacing="0"/>
              <w:rPr>
                <w:rFonts w:ascii="Sylfaen" w:hAnsi="Sylfaen" w:cs="Sylfaen"/>
                <w:sz w:val="20"/>
                <w:szCs w:val="20"/>
                <w:lang w:val="hy-AM"/>
              </w:rPr>
            </w:pP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Սարքավորումը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հագեցած պետք է լինի ONE4ALL օպտիկայով, որի շնորհիվ համակարգը պետք է կատարի բարձր ճշտգրտության կլանման, լյումինեսցենցիայի և ֆլյուորեսցենցիայի չափումներ: Սարքավորումը հագեցված պետք է լինի BRET (Կենսալյումինեսցենտային էներգիայի ռեզոնանսային փոխանցում) և FRET (Լյումինեսցենտային էներգիայի ռեզոնանսային փոխանցում) էներգիայի փոխանցման համակարգերով։ Կլանումը պետք է լինի UV/ VIS տեսակի։ ONE-4-ALL օպտիկան պետք է աշխատի ինչպես ֆիլտրերով, այնպես էլ մոնոքրոմատորներով։ ֆիլտրերը պետք է լինեն փոխարինելի: Փոխարինելի ֆիլտրի թիթեղները պետք է կրելի լինեն մինչև 40 տարբեր Ֆիլտրերի համար: Ֆիլտրերը օժտված պետք է լինեն բարձր տրանսմիսիոն ունակությամբ, որի շնորհիվ նրանք մատչելի կլինեն լայն սպեկտրով ֆլյուորոֆորների վերլուծության և լյումինեսցենցիայի վրա հիմնված վերլուծության բոլոր մեթոդների համար, որոնք պահանջում են ֆիլտրերի օգտագործում, ինչպիսիք են BRET, BRET2 և NanoBRET™: Սարքավորումը հագեցած պետք է լինի խաչաձև ճնշման երևույթով պայմանավորված սխալանքի մինչև 10</w:t>
            </w:r>
            <w:r w:rsidRPr="00E87403">
              <w:rPr>
                <w:rFonts w:ascii="Sylfaen" w:hAnsi="Sylfaen" w:cs="Sylfaen"/>
                <w:sz w:val="20"/>
                <w:szCs w:val="20"/>
                <w:vertAlign w:val="superscript"/>
                <w:lang w:val="hy-AM"/>
              </w:rPr>
              <w:t>6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 xml:space="preserve"> ճշտգրտման համակարգով։ Առաջնային խցիկում սարքը հագեցված պետք է լինի ռեակտիվների սրվակների տեղամասով, որտեղ պետք է լինի նաև ջրային բաղնիքի կամ սառցե բաղնիքի ստեղծման տեղամաս, որի շնորհիվ ռեակտիվներն պահպանվելու են հաստատուն ջերմաստիճանում։ Սարքավորմանը կարող են միացվել մինչև 3 փոփոխական ծավալի գերարագ ներարկման JET  տեսակի ներարկիչներ, որոնք ունեն ավելի քան 98% ճշտգրտություն։ Աշխատանքը թույլ պետք է տա իրականացնել ավելի քան 3 միլիոն ներարկում՝ առանց մեխանիկական վնասների և ակնթարթային լյումինեսցենցայի չափմամբ։ Ներարկման ծավալը պետք է լինի 10-100 մկլ՝ առնվազն 1 մկլ քայլերով, ներարկման արագությունը 200 – 440 մկլ/վրկ։ Օպտիմալ արտադրողականության շնորհիվ սարքավորումը հնարավորություն պետք է տա իրականացնել ակնթարթային կինետիկ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lastRenderedPageBreak/>
              <w:t xml:space="preserve">կորերի ուսումնասիրում՝ սկսած կինետիկ վերլուծության առաջին 150 մվրկ-ից (օրինակ՝ Fura-2 կամ Acridinium Ester-assays):  Սարքավորումը համատեղելի է Light Compass® համակարգչային ծրագրին, որը պետք է ներառված լինի սարքավորման փաթեթում։ Համակարգչային ծրագիրն պետք է ունենա նաև կլանման, լյումինեսցենտային կամ ֆլյուորեսցենտային կորերի և սպեկտրների ստեղծման և դրանց ուսումնասիրման գործիքներ, պետք է հասանելի լինի 3 տարբերակներով՝ Basic, Plus և Professional:  </w:t>
            </w:r>
          </w:p>
          <w:p w14:paraId="1B5C26CF" w14:textId="77777777" w:rsidR="00AA1356" w:rsidRPr="00E87403" w:rsidRDefault="00AA1356" w:rsidP="00E87403">
            <w:pPr>
              <w:pStyle w:val="NormalWeb"/>
              <w:spacing w:before="0" w:beforeAutospacing="0" w:after="0" w:afterAutospacing="0"/>
              <w:rPr>
                <w:rFonts w:ascii="Sylfaen" w:hAnsi="Sylfaen" w:cs="Sylfaen"/>
                <w:sz w:val="20"/>
                <w:szCs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Սարքավորումը պետք է հագեցված լինի հետևալ տեսակի դետեկտորներով՝</w:t>
            </w:r>
          </w:p>
          <w:p w14:paraId="39498F5E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3"/>
              </w:numPr>
              <w:autoSpaceDE w:val="0"/>
              <w:autoSpaceDN w:val="0"/>
              <w:spacing w:before="1"/>
              <w:ind w:right="101"/>
              <w:contextualSpacing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ֆոտոէլեկտրոնային բազմապատկիչ, որը կարող է գործել մեկ ֆոտոնի հաշվարկի ռեժիմում և իմպուլսի բարձրության հայտնաբերման ռեժիմում,</w:t>
            </w:r>
          </w:p>
          <w:p w14:paraId="560DDD84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3"/>
              </w:numPr>
              <w:autoSpaceDE w:val="0"/>
              <w:autoSpaceDN w:val="0"/>
              <w:spacing w:before="1"/>
              <w:ind w:right="101"/>
              <w:contextualSpacing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Ֆոտոդիոդ՝ կլանումը որոշելու համար</w:t>
            </w:r>
          </w:p>
          <w:p w14:paraId="6CF7FF05" w14:textId="77777777" w:rsidR="00AA1356" w:rsidRPr="00E87403" w:rsidRDefault="00AA1356" w:rsidP="00E87403">
            <w:pPr>
              <w:pStyle w:val="ListParagraph"/>
              <w:widowControl w:val="0"/>
              <w:autoSpaceDE w:val="0"/>
              <w:autoSpaceDN w:val="0"/>
              <w:spacing w:before="1"/>
              <w:ind w:right="101"/>
              <w:contextualSpacing w:val="0"/>
              <w:rPr>
                <w:rFonts w:ascii="Sylfaen" w:hAnsi="Sylfaen" w:cs="Sylfaen"/>
                <w:sz w:val="20"/>
                <w:lang w:val="hy-AM"/>
              </w:rPr>
            </w:pPr>
          </w:p>
          <w:p w14:paraId="00FF5C81" w14:textId="77777777" w:rsidR="00AA1356" w:rsidRPr="00E87403" w:rsidRDefault="00AA1356" w:rsidP="00E87403">
            <w:pPr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Սարքավորումը պետք է ունենա հետևյալ չափման ռեժիմները՝</w:t>
            </w:r>
          </w:p>
          <w:p w14:paraId="5F8C73BD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/>
              <w:ind w:right="101"/>
              <w:contextualSpacing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UV/Vis Կլանում,</w:t>
            </w:r>
          </w:p>
          <w:p w14:paraId="2A410051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/>
              <w:ind w:right="101"/>
              <w:contextualSpacing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Լյումինեսցենցիա,</w:t>
            </w:r>
          </w:p>
          <w:p w14:paraId="1AB5DC86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/>
              <w:ind w:right="101"/>
              <w:contextualSpacing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BRET (Կենսալյումինեսցենտային էներգիայի ռեզոնանսային փոխանցում)/ BRET2 և NanoBRET</w:t>
            </w:r>
            <w:r w:rsidRPr="00E87403">
              <w:rPr>
                <w:rFonts w:ascii="Sylfaen" w:hAnsi="Sylfaen" w:cs="Sylfaen"/>
                <w:sz w:val="20"/>
                <w:vertAlign w:val="superscript"/>
                <w:lang w:val="hy-AM"/>
              </w:rPr>
              <w:t>TM</w:t>
            </w:r>
          </w:p>
          <w:p w14:paraId="4DD9C3E4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/>
              <w:ind w:right="101"/>
              <w:contextualSpacing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FRET</w:t>
            </w:r>
          </w:p>
          <w:p w14:paraId="363CD90C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/>
              <w:ind w:right="101"/>
              <w:contextualSpacing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UV/Vis և ժամանակալուծային (time-resolved) ֆլուորեսցենցիա,</w:t>
            </w:r>
          </w:p>
          <w:p w14:paraId="575F6551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/>
              <w:ind w:right="101"/>
              <w:contextualSpacing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Լյումինեսցենտային էներգիայի ռեզոնանսային փոխանցում,</w:t>
            </w:r>
          </w:p>
          <w:p w14:paraId="01BECAF7" w14:textId="77777777" w:rsidR="00AA1356" w:rsidRPr="00E87403" w:rsidRDefault="00AA1356" w:rsidP="00E87403">
            <w:pPr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Չափման ռեժիմները պետք է լինեն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</w:p>
          <w:p w14:paraId="0F7D26D9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before="1"/>
              <w:ind w:right="101"/>
              <w:contextualSpacing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Վերջնակետ, </w:t>
            </w:r>
          </w:p>
          <w:p w14:paraId="4F480064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before="1"/>
              <w:ind w:right="101"/>
              <w:contextualSpacing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Կինետիկա (հնարավորություն է տրվում երկարատև (մինչև 7 օր և ավելի) կինետիկ չափումների), </w:t>
            </w:r>
          </w:p>
          <w:p w14:paraId="1843D798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before="1"/>
              <w:ind w:right="101"/>
              <w:contextualSpacing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Կրկնվող սպեկտրալ սկանավորում, </w:t>
            </w:r>
          </w:p>
          <w:p w14:paraId="7DB29ED5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before="1"/>
              <w:ind w:right="101"/>
              <w:contextualSpacing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Տարածքի սկանավորում (մինչև 10 x 10  միավոր յուրաքանչյուր անցքում)։</w:t>
            </w:r>
          </w:p>
          <w:p w14:paraId="48844F8F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Օպտիկայի համակարագերը</w:t>
            </w:r>
          </w:p>
          <w:p w14:paraId="16ECF64C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6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ONE-4-ALL</w:t>
            </w:r>
          </w:p>
          <w:p w14:paraId="1BB170D1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6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Z-անկախ օպտիկա</w:t>
            </w:r>
          </w:p>
          <w:p w14:paraId="0141C60A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6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17x5 էքստինկցիայի և էիմիսիայի ֆիլտրեր, այդ թվում՝</w:t>
            </w:r>
          </w:p>
          <w:p w14:paraId="53572561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7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տրանսմիսիայի համար տրամաչափված էքսինկցիայի ֆիլտրեր,</w:t>
            </w:r>
          </w:p>
          <w:p w14:paraId="5141D979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7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BRET-ի և BRET2-ի համար բարձր որակի ֆիլտրեր,</w:t>
            </w:r>
          </w:p>
          <w:p w14:paraId="6640D717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7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BRET-ի համար նախատեսված հատուկ բարձր էֆֆեկտիվության ֆիլտրերի հավաքածու,</w:t>
            </w:r>
          </w:p>
          <w:p w14:paraId="608868EB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7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BRET 2-ի համար նախատեսված հատուկ բարձր էֆֆեկտիվության ֆիլտրերի հավաքածու,</w:t>
            </w:r>
          </w:p>
          <w:p w14:paraId="6C2DD7DC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7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lastRenderedPageBreak/>
              <w:t>NanoBRET</w:t>
            </w:r>
            <w:r w:rsidRPr="00E87403">
              <w:rPr>
                <w:rFonts w:ascii="Sylfaen" w:hAnsi="Sylfaen" w:cs="Sylfaen"/>
                <w:sz w:val="20"/>
                <w:vertAlign w:val="superscript"/>
                <w:lang w:val="hy-AM"/>
              </w:rPr>
              <w:t>TM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-ի համար նախատեսված հատուկ բարձր էֆֆեկտիվության ֆիլտրերի հավաքածու,</w:t>
            </w:r>
          </w:p>
          <w:p w14:paraId="35BF009E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7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Դիմային հատվածից հեշտ հասանելի ֆիլտրերի սլայդներ։</w:t>
            </w:r>
          </w:p>
          <w:p w14:paraId="7B87843D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Ռեագենտների ներարկումը՝</w:t>
            </w:r>
          </w:p>
          <w:p w14:paraId="18E90602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101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3 JET տեսակի ներարկման համակարգեր, որոնք գործում են հետևյալ ռեժիմներում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</w:p>
          <w:p w14:paraId="3E98394B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ներարկման արագությունը 200 – 440 մկլ/վ,</w:t>
            </w:r>
          </w:p>
          <w:p w14:paraId="70DABF6B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ներարկման ծավալը,</w:t>
            </w:r>
          </w:p>
          <w:p w14:paraId="12EE6F86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ներարկման քայլը 1 մկլ,</w:t>
            </w:r>
          </w:p>
          <w:p w14:paraId="603920B3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արագ և արդյունավետ խառնում,</w:t>
            </w:r>
          </w:p>
          <w:p w14:paraId="0AA855A3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առանց միկրոպլանշետի պարունակության հետ անմիջական շփման,</w:t>
            </w:r>
          </w:p>
          <w:p w14:paraId="76EA0330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կիրառելի է բջջային կուլտուրաների ներարկման համար,</w:t>
            </w:r>
          </w:p>
          <w:p w14:paraId="0A893264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ռեագենտների հետ շփվող մասերը միայն տեֆլոնե, տեֆլոնի-ածանցյալ և PP որակի,</w:t>
            </w:r>
          </w:p>
          <w:p w14:paraId="4C5ED3CF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Ճշտգրտությունը 98% (ընդհանուր ծավալային տիրույթում),</w:t>
            </w:r>
          </w:p>
          <w:p w14:paraId="6CF08FDA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ցածր հիմնական ծավալը (գործում է սկսած &lt;1մլ, ամբողջական և միատարր լցված),</w:t>
            </w:r>
          </w:p>
          <w:p w14:paraId="63CB8E5C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ծրագրով կառավարելիություն,</w:t>
            </w:r>
          </w:p>
          <w:p w14:paraId="13215C7B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սարքավորման չափման ռեժիմում ներարկման հնարավորություն (օրինակ արագ կինետիկայի դեպքում),</w:t>
            </w:r>
          </w:p>
          <w:p w14:paraId="01E5943C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դիմային հասանելիություն,</w:t>
            </w:r>
          </w:p>
          <w:p w14:paraId="5F746217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ռեագենտների սառեցման հնարավորություն,</w:t>
            </w:r>
          </w:p>
          <w:p w14:paraId="0EE3F137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ռեագենտների տարաները և ռեագենտների ծավալները տեսանելի են չափման ընթացքում,</w:t>
            </w:r>
          </w:p>
          <w:p w14:paraId="59A981D4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384-ակոսանի միկրոպլանշետների կիրառման դեպքում 3 ներարկիչների անխափան աշխատանք առանց նախնական մեխանիկական կարգավորման</w:t>
            </w:r>
            <w:r w:rsidRPr="00E87403">
              <w:rPr>
                <w:rFonts w:ascii="Sylfaen" w:hAnsi="Sylfaen"/>
                <w:sz w:val="20"/>
                <w:lang w:val="hy-AM"/>
              </w:rPr>
              <w:t>,</w:t>
            </w:r>
          </w:p>
          <w:p w14:paraId="56E67A5B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ռեագենտների պահման տեղամասը հագեցած է լուսազգայուն ռեագենտների լույսից պաշտպանության կափարիչով, </w:t>
            </w:r>
          </w:p>
          <w:p w14:paraId="62F0D4D1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քիչ քանակությամբ ռեագենտների համար մագնիսական ուժով բռնիչներ (լրացուցիչ),</w:t>
            </w:r>
          </w:p>
          <w:p w14:paraId="4C213502" w14:textId="77777777" w:rsidR="00AA1356" w:rsidRPr="00E87403" w:rsidRDefault="00AA1356" w:rsidP="00E87403">
            <w:pPr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Լույսի աղբյուրը՝ 10 Վ հզորությամբ քսենոնային առկայծող լամպ։</w:t>
            </w:r>
          </w:p>
          <w:p w14:paraId="30FB7AD3" w14:textId="77777777" w:rsidR="00AA1356" w:rsidRPr="00E87403" w:rsidRDefault="00AA1356" w:rsidP="00E87403">
            <w:pPr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Կլանման տիրույթը՝ 200-1000 նմ (ֆոտոդիոդային)։</w:t>
            </w:r>
          </w:p>
          <w:p w14:paraId="3AA3B61D" w14:textId="77777777" w:rsidR="00AA1356" w:rsidRPr="00E87403" w:rsidRDefault="00AA1356" w:rsidP="00E87403">
            <w:pPr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Լյումինեսցենտային սպեկտրալ տիրույթը՝ ստանդարտը՝ 280-650 նմ (ցածր աղմուկային ֆոտոմուլտիպիլիկատոր խողոված երկակի ռեժիմում), FL մոդելները՝ 280-850 նմ,</w:t>
            </w:r>
          </w:p>
          <w:p w14:paraId="358E389F" w14:textId="77777777" w:rsidR="00AA1356" w:rsidRPr="00E87403" w:rsidRDefault="00AA1356" w:rsidP="00E87403">
            <w:pPr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Ֆլյուորեսցենտային սպեկտրալ տիրույթը՝ էքստինկցիան՝ 200-1000 նմ, էմիսիան՝ 280-650 նմ, FL մոդելները՝ 280-850 նմ։</w:t>
            </w:r>
          </w:p>
          <w:p w14:paraId="2C1F0D8B" w14:textId="77777777" w:rsidR="00AA1356" w:rsidRPr="00E87403" w:rsidRDefault="00AA1356" w:rsidP="00E87403">
            <w:pPr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lastRenderedPageBreak/>
              <w:t>Ֆիլտերը ենթակա են արագ և հեշտ փոփոխման ընդամենը 160 մՎ-ում և հնարավորություն են տալիս քվազի զուգահեռ հարաբերական ընթերցումներ կտարելու։</w:t>
            </w:r>
          </w:p>
          <w:p w14:paraId="3E5768E9" w14:textId="77777777" w:rsidR="00AA1356" w:rsidRPr="00E87403" w:rsidRDefault="00AA1356" w:rsidP="00E87403">
            <w:pPr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Միկրոպլանշետների ձևաչափերը՝ 1-384-անցքերով, Տերասկիի միկրոպլանշետներ, Պետրիի թասեր (35 և 60 նմ), կյուվետներ,  բարձրությունը՝  3 տարբեր շրջանակների՝ կախված տեսակից; նմուշների  հավելյալ ձևաչափեր (լրամասեր)՝ µDrop, կյուվետների ադապտորներ, պետրիի թասերի ադապտորներ, տերասկիի միկրոպլանշետների ադապտորներ։ Թափահարումը՝ գծային, օրբիտալ, կրկնակի օրբիտալ, ընտրողական արագությամբ և տրամագծով։ Թափահարման արագությունը 420-1020 պտ/ր։ Ջերմաստիճանային կարգավորումը՝ +5°-ից 45° C, պետք է ներառի հավելյալ սառեցման համակարգեր՝ ֆոտոբազմապատկիչի (photomultiplier) համար։ Գազերի միացման հնարավորություն (հավելյալ)։ Կլանման հնարավոր սխալանքի տիրույթը՝ 0.6 %, Լյումինեսցենցիայի զգայնությունը՝ &lt;6 amol (0.03 pM) ԱԵՖ/անցքում (96-անցքով միկրոպլանշետներում), Ֆլյուորեսցենցիայի զգայնությունը՝ &lt;7 amol Ֆլյուորեսցին/անցքում (384-անցքով փոքր ծավալների միկրոպլանշետ)։ Չափման դինամիկ տիրույթը՝ ավելի քան 6 մեծության կարգեր, 0-3.5 ՕԽ։ Համակարգչային ծրագրային ապահովումը՝ Windows 10 միացած USB գործող համակարգին, LightCompass® համակարգչային ծրագրի փաթեթը տվյալների չափման և վերլուծության համար։ Կարգավորումը՝ CE, NRTL, Հոսանքային ապահովումը՝ 110-240 VAC ± 10% 50/60 Hz դաս I, հզորությունը՝ 24 VDC ± 5%, արտաքին միջավայրի ջերմաստիճանը՝ պահպանման համար 0-40° C, աշխատանքի համար 15-35° C, Խոնավությունը՝ 10-80% չկոնդենսավորվող, 80%-ից բարձր խոնավության դեպքում առավելագույն ջերմաստիճանը 31 °C, ծովի մակարդակից բարձրությունը՝ առավելագույնը 2000 մ, չափերը՝ 391 x 470 x 344 մմ, քաշը՝ 20 կգ։</w:t>
            </w:r>
          </w:p>
          <w:p w14:paraId="3A607D33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Կատարողունակությունը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</w:p>
          <w:p w14:paraId="22AFDD1A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1.Կլանումը՝</w:t>
            </w:r>
          </w:p>
          <w:p w14:paraId="4FC2048A" w14:textId="77777777" w:rsidR="00AA1356" w:rsidRPr="00E87403" w:rsidRDefault="00AA1356" w:rsidP="00E87403">
            <w:pPr>
              <w:pStyle w:val="ListParagraph"/>
              <w:numPr>
                <w:ilvl w:val="0"/>
                <w:numId w:val="39"/>
              </w:num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0-3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  <w:r w:rsidRPr="00E87403">
              <w:rPr>
                <w:rFonts w:ascii="Sylfaen" w:hAnsi="Sylfaen"/>
                <w:sz w:val="20"/>
                <w:lang w:val="hy-AM"/>
              </w:rPr>
              <w:t>5 OD</w:t>
            </w:r>
          </w:p>
          <w:p w14:paraId="6134F0A8" w14:textId="77777777" w:rsidR="00AA1356" w:rsidRPr="00E87403" w:rsidRDefault="00AA1356" w:rsidP="00E87403">
            <w:pPr>
              <w:pStyle w:val="ListParagraph"/>
              <w:numPr>
                <w:ilvl w:val="0"/>
                <w:numId w:val="39"/>
              </w:num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Ճշգրտությունը` &gt;98</w:t>
            </w:r>
            <w:r w:rsidRPr="00E87403">
              <w:rPr>
                <w:rFonts w:ascii="Sylfaen" w:hAnsi="Sylfaen"/>
                <w:sz w:val="20"/>
              </w:rPr>
              <w:t>%</w:t>
            </w:r>
          </w:p>
          <w:p w14:paraId="470144A8" w14:textId="77777777" w:rsidR="00AA1356" w:rsidRPr="00E87403" w:rsidRDefault="00AA1356" w:rsidP="00E87403">
            <w:pPr>
              <w:pStyle w:val="ListParagraph"/>
              <w:numPr>
                <w:ilvl w:val="0"/>
                <w:numId w:val="39"/>
              </w:num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Սխալանքը՝ &lt;0.6%</w:t>
            </w:r>
          </w:p>
          <w:p w14:paraId="16B3C2E4" w14:textId="77777777" w:rsidR="00AA1356" w:rsidRPr="00E87403" w:rsidRDefault="00AA1356" w:rsidP="00E87403">
            <w:pPr>
              <w:pStyle w:val="ListParagraph"/>
              <w:numPr>
                <w:ilvl w:val="0"/>
                <w:numId w:val="39"/>
              </w:num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200-1000 նմ</w:t>
            </w:r>
          </w:p>
          <w:p w14:paraId="094860D9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2.Ֆլյուորեսցենցիա &lt;7 amol/well FITC (384sv)</w:t>
            </w:r>
          </w:p>
          <w:p w14:paraId="38B82B44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3.Լյումինեսցենցիա &lt;6 amol/well FITC (384sv)</w:t>
            </w:r>
          </w:p>
          <w:p w14:paraId="0C609FA8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</w:p>
          <w:p w14:paraId="71D99C3C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Ծրագրային ապահովումը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</w:p>
          <w:p w14:paraId="444BB071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LightCompass® ծրագիրը նախատեսվել է տվյալների վերլուծության համար։ Ծրագրի անալիտիկ մոդուլն ապահովում է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</w:p>
          <w:p w14:paraId="26BCC8A0" w14:textId="77777777" w:rsidR="00AA1356" w:rsidRPr="00E87403" w:rsidRDefault="00AA1356" w:rsidP="00E87403">
            <w:pPr>
              <w:pStyle w:val="ListParagraph"/>
              <w:numPr>
                <w:ilvl w:val="0"/>
                <w:numId w:val="40"/>
              </w:num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lastRenderedPageBreak/>
              <w:t>Տեղում գրաֆիկների կառուցում</w:t>
            </w:r>
          </w:p>
          <w:p w14:paraId="33697958" w14:textId="77777777" w:rsidR="00AA1356" w:rsidRPr="00E87403" w:rsidRDefault="00AA1356" w:rsidP="00E87403">
            <w:pPr>
              <w:pStyle w:val="ListParagraph"/>
              <w:numPr>
                <w:ilvl w:val="0"/>
                <w:numId w:val="40"/>
              </w:num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տվյալների արտահանում (XLS, TXT, PDF)</w:t>
            </w:r>
          </w:p>
          <w:p w14:paraId="7060E8ED" w14:textId="77777777" w:rsidR="00AA1356" w:rsidRPr="00E87403" w:rsidRDefault="00AA1356" w:rsidP="00E87403">
            <w:pPr>
              <w:pStyle w:val="ListParagraph"/>
              <w:numPr>
                <w:ilvl w:val="0"/>
                <w:numId w:val="40"/>
              </w:num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 xml:space="preserve">Հարաբերակցության որոշում </w:t>
            </w:r>
          </w:p>
          <w:p w14:paraId="50D4C2A2" w14:textId="77777777" w:rsidR="00AA1356" w:rsidRPr="00E87403" w:rsidRDefault="00AA1356" w:rsidP="00E87403">
            <w:pPr>
              <w:pStyle w:val="ListParagraph"/>
              <w:numPr>
                <w:ilvl w:val="0"/>
                <w:numId w:val="40"/>
              </w:num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Կորերի հետ աշխատանք</w:t>
            </w:r>
          </w:p>
          <w:p w14:paraId="0D3BA87B" w14:textId="77777777" w:rsidR="00AA1356" w:rsidRPr="00E87403" w:rsidRDefault="00AA1356" w:rsidP="00E87403">
            <w:pPr>
              <w:pStyle w:val="ListParagraph"/>
              <w:numPr>
                <w:ilvl w:val="0"/>
                <w:numId w:val="40"/>
              </w:num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կինետիկա և կրկնություն</w:t>
            </w:r>
          </w:p>
          <w:p w14:paraId="44BB322D" w14:textId="77777777" w:rsidR="00AA1356" w:rsidRPr="00E87403" w:rsidRDefault="00AA1356" w:rsidP="00E87403">
            <w:pPr>
              <w:pStyle w:val="ListParagraph"/>
              <w:numPr>
                <w:ilvl w:val="0"/>
                <w:numId w:val="40"/>
              </w:num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Հարաբերակցություն և հանում</w:t>
            </w:r>
          </w:p>
          <w:p w14:paraId="5C80CABA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Սարքավորումը պետք է համապատասխանի ISO9001:2015 և ISO 14001:2015 ստանդարտներին։ </w:t>
            </w:r>
          </w:p>
          <w:p w14:paraId="53EE2E5E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</w:p>
          <w:p w14:paraId="73759C18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b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b/>
                <w:sz w:val="20"/>
                <w:lang w:val="hy-AM"/>
              </w:rPr>
              <w:t>Սպիտակ միկրոպլանշետներ, անթափանց հատակով</w:t>
            </w:r>
          </w:p>
          <w:p w14:paraId="01F23DA8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b/>
                <w:sz w:val="20"/>
                <w:lang w:val="hy-AM"/>
              </w:rPr>
            </w:pPr>
          </w:p>
          <w:p w14:paraId="4534101A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/>
                <w:noProof/>
                <w:sz w:val="20"/>
                <w:lang w:eastAsia="en-US"/>
              </w:rPr>
              <w:drawing>
                <wp:inline distT="0" distB="0" distL="0" distR="0" wp14:anchorId="775266BC" wp14:editId="2F3C3E52">
                  <wp:extent cx="1104900" cy="828676"/>
                  <wp:effectExtent l="0" t="0" r="0" b="9525"/>
                  <wp:docPr id="2" name="Picture 2" descr="353296 | Falcon® 96-well White Flat Bottom TC-treated Microtest Assay  Microplate, with Lid, Sterile, 5/Pack, 50/Case | Corn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353296 | Falcon® 96-well White Flat Bottom TC-treated Microtest Assay  Microplate, with Lid, Sterile, 5/Pack, 50/Case | Corn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048" cy="837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5A8684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Corning Life Sciences, VWR</w:t>
            </w:r>
            <w:r w:rsidRPr="00E87403">
              <w:rPr>
                <w:rFonts w:ascii="Sylfaen" w:hAnsi="Sylfaen" w:cs="Sylfaen"/>
                <w:sz w:val="20"/>
              </w:rPr>
              <w:t xml:space="preserve">,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Thermo Fisher Scientific կամ </w:t>
            </w:r>
            <w:r w:rsidRPr="00E87403">
              <w:rPr>
                <w:rFonts w:ascii="Sylfaen" w:hAnsi="Sylfaen" w:cs="Sylfaen"/>
                <w:bCs/>
                <w:sz w:val="20"/>
                <w:lang w:val="hy-AM"/>
              </w:rPr>
              <w:t>Greiner Bio-One</w:t>
            </w:r>
          </w:p>
          <w:p w14:paraId="20E77B54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Նախատեսված են 200-900 նմ լյումինեսցենտային և BRET չափումներ կատարելու համար։ Կազմված են 96 անցքից, պոլիստերինից, կրկնակի հատակով, սպիտակ, CELLSTAR® TC։ Մանրէազերծ են։ Միկրոպլանշետները չեն պարունակում ԴՆԹազ, ՌՆԹազ, մարդու ԴՆԹ, ոչ պիրոգենիկ են և ցիտոտոքսիկ չեն։ Համատեղելի են բազմագործառույթային միկրոպլանշետային սպեկտրալուսաչափի</w:t>
            </w:r>
          </w:p>
          <w:p w14:paraId="6B730547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հետ։ Անցքերը ունեն այբբենական և թվային կոդավորում։ Հատակը առանց ծածկույթի, սպիտակ, կոշտ։ Միկրոպլանշետները կարառելի են կողք-կողքի շարվող միկրոպլանշետներ պահանջող սարքավորումների համար։ Անցքի պրոֆիլը՝ հարթահատակ/ առանձնացված անցքերով։ Մեկ անցքի տարածքը՝ 34 մմ², աշխատանքային ծավալը մեկ անցքի համար ՝ 25-340 մկլ։ Համապատասխանում է ամերիկյան ազգային ինստիտուտի ստանդարտներին (ANSI) (ANSI/SBS 1-2004)։ Յուրաքանչյուրը ունի անհատական փաթեթավորում: Մատակարարել տուփերով, յուրաքանչյուրում 10 հատ՝ առանձին փաթեթավորումներով։ Փաթեթի քաշը 2.5 կգ, չափերը՝ 335 x 250 x 165 մմ։</w:t>
            </w:r>
          </w:p>
          <w:p w14:paraId="369E64BD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sz w:val="20"/>
                <w:lang w:val="hy-AM"/>
              </w:rPr>
            </w:pPr>
          </w:p>
          <w:p w14:paraId="758B6885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b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b/>
                <w:sz w:val="20"/>
                <w:lang w:val="hy-AM"/>
              </w:rPr>
              <w:t xml:space="preserve">Սպիտակ միկրոպլանշետներ, թափանցիկ հատակով </w:t>
            </w:r>
          </w:p>
          <w:p w14:paraId="0035A98F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/>
                <w:noProof/>
                <w:sz w:val="20"/>
                <w:lang w:eastAsia="en-US"/>
              </w:rPr>
              <w:lastRenderedPageBreak/>
              <w:drawing>
                <wp:inline distT="0" distB="0" distL="0" distR="0" wp14:anchorId="352FABBA" wp14:editId="00DBD38B">
                  <wp:extent cx="1267486" cy="981791"/>
                  <wp:effectExtent l="0" t="0" r="8890" b="8890"/>
                  <wp:docPr id="3" name="Picture 3" descr="ViewPlate-96, White 96-well Microplate with Clear Bottom, Sterile and  Tissue Culture Treated, Lid Included | Revvit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ViewPlate-96, White 96-well Microplate with Clear Bottom, Sterile and  Tissue Culture Treated, Lid Included | Revvity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10139" r="2110" b="14036"/>
                          <a:stretch/>
                        </pic:blipFill>
                        <pic:spPr bwMode="auto">
                          <a:xfrm>
                            <a:off x="0" y="0"/>
                            <a:ext cx="1268066" cy="982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5B69483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Corning Life Sciences, VWR</w:t>
            </w:r>
            <w:r w:rsidRPr="00E87403">
              <w:rPr>
                <w:rFonts w:ascii="Sylfaen" w:hAnsi="Sylfaen" w:cs="Sylfaen"/>
                <w:sz w:val="20"/>
              </w:rPr>
              <w:t xml:space="preserve">,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Thermo Fisher Scientific կամ </w:t>
            </w:r>
            <w:r w:rsidRPr="00E87403">
              <w:rPr>
                <w:rFonts w:ascii="Sylfaen" w:hAnsi="Sylfaen" w:cs="Sylfaen"/>
                <w:bCs/>
                <w:sz w:val="20"/>
                <w:lang w:val="hy-AM"/>
              </w:rPr>
              <w:t>Greiner Bio-One</w:t>
            </w:r>
          </w:p>
          <w:p w14:paraId="686C3CF5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Նախատեսված են 300-700 նմ լյումինեսցենտային մեթոդով չափումների համար։ Համատեղելի են բազմագործառույթային միկրոպլանշետային սպեկտրալուսաչափի</w:t>
            </w:r>
          </w:p>
          <w:p w14:paraId="1B6B634A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հետ։ Միկրոպլանշետի սպիտակ պատի թիթեղները ուժեղացնում են լյումինեսցենտային ազդանշանները և ունեն ցածր ֆոնային լյումինեսցենցիա և ֆլյուորեսցենցիա: Միկրոպլանշետի ստորին մասը 60% - ով ավելի բարակ է, քան սովորական պոլիստիրոլի թիթեղները, ինչը հանգեցնում է ֆոնային լյումինեսցենցիայի նվազմանը և թույլ է տալիս ստանալ տվյալներ` մինչև 340 նմ երկարությամբ ալիքի տակ չափումներ կատարելիս: Միկրոպլանշետի ձևաչափը 96-անցք։ Անցքերը կլոր, թափանցիկ, հատակը՝ հարթ, որի շնորհիվ կարող է կիրառվել նաև մանրադիտակային</w:t>
            </w:r>
          </w:p>
          <w:p w14:paraId="01CCD106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մեթոդներում։ Կարող է օգտագործվել վերևից և ներքևից չափող սարքերում: Անցքի առավելագույն ծավալը՝ 360 մկլ, աշխատանքային ծավալները՝ 75-ից 200 մկլ։ Մանրէազերծվում են գամմա ճառագայթմամբ և պիրոգեն չեն: Անցքերի նույնականացման անհատական և թվային այբբենական կոդեր: Յուրաքանչյուրը ունի անհատական փաթեթավորում: Մեկ փաթեթը ներառում է 10 միկրոպլանշետներ։ Մատակարարել տուփերով, յուրաքանչյուրում 10 հատ՝ առանձին փաթեթավորումներով։ Համապատասխանում է ամերիկյան Ստանդարտների ազգային ինստիտուտի (ANSI) (ANSI/SBS 1-2004) առաջարկություններին։</w:t>
            </w:r>
          </w:p>
          <w:p w14:paraId="297B7D11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b/>
                <w:sz w:val="20"/>
                <w:lang w:val="hy-AM"/>
              </w:rPr>
            </w:pPr>
          </w:p>
          <w:p w14:paraId="0179BD43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b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b/>
                <w:sz w:val="20"/>
                <w:lang w:val="hy-AM"/>
              </w:rPr>
              <w:t xml:space="preserve">Սև միկրոպլանշետներ, անթափանց հատակով  </w:t>
            </w:r>
          </w:p>
          <w:p w14:paraId="365E73C7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/>
                <w:noProof/>
                <w:sz w:val="20"/>
                <w:lang w:eastAsia="en-US"/>
              </w:rPr>
              <w:drawing>
                <wp:inline distT="0" distB="0" distL="0" distR="0" wp14:anchorId="0C4F2E3A" wp14:editId="54AD196C">
                  <wp:extent cx="1457325" cy="1165860"/>
                  <wp:effectExtent l="0" t="0" r="9525" b="0"/>
                  <wp:docPr id="4" name="Picture 4" descr="Assay Plates (PS), 96 Round Well Flat-Bottom, Black, 14.10mm Height, 340ul  – Innovative Laboratory Product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Assay Plates (PS), 96 Round Well Flat-Bottom, Black, 14.10mm Height, 340ul  – Innovative Laboratory Product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9376" cy="1167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8C7B39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Corning Life Sciences, VWR</w:t>
            </w:r>
            <w:r w:rsidRPr="00E87403">
              <w:rPr>
                <w:rFonts w:ascii="Sylfaen" w:hAnsi="Sylfaen" w:cs="Sylfaen"/>
                <w:sz w:val="20"/>
              </w:rPr>
              <w:t xml:space="preserve">,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Thermo Fisher Scientific կամ </w:t>
            </w:r>
            <w:r w:rsidRPr="00E87403">
              <w:rPr>
                <w:rFonts w:ascii="Sylfaen" w:hAnsi="Sylfaen" w:cs="Sylfaen"/>
                <w:bCs/>
                <w:sz w:val="20"/>
                <w:lang w:val="hy-AM"/>
              </w:rPr>
              <w:t>Greiner Bio-One</w:t>
            </w:r>
          </w:p>
          <w:p w14:paraId="08602E86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Նախատեսված են 400-700 նմ ֆլյուորեսցենտային, FRET և կլանման տիպի չափումներ կատարելու համար։ Համատեղելի են բազմագործառույթային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lastRenderedPageBreak/>
              <w:t>միկրոպլանշետային սպեկտրալուսաչափի հետ։ Ձևաչափը՝ 96 անցք։ Մանրէազերծ։ Անցքի պրոֆիլը՝ կլոր, հարթահատակ/ առանձնացված անցքերով։ Մեկ անցքի մակերեսը՝ 34 մմ²։ Աշխատանքային ծավալը մեկ անցքի համար՝ 25-340 մկլ։ Համատեղելի է ավտոմատացված համակարգերի հետ։ Միկրոպլանշետային անցքերը ունեն այբբենական և թվային կոդավորում։ Կիրառելի է միկրոտարրերի մանրադիտակային օպտիմալ հետազոտության համար։</w:t>
            </w:r>
          </w:p>
          <w:p w14:paraId="6CE584F9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 Համապատասխանում է ամերիկյան Ստանդարտների ազգային ինստիտուտի (ANSI) (ANSI/SBS 1-2004) առաջարկություններին։ Փաթեթավորման քաշը՝ 2.1 կգ, չափերը՝ 335 x 250 x 165 մմ։ Մատակարարել տուփերով, յուրաքանչյուրում 10 հատ՝ առանձին փաթեթավորումներով։ </w:t>
            </w:r>
          </w:p>
          <w:p w14:paraId="3C2B2A6F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b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b/>
                <w:sz w:val="20"/>
                <w:lang w:val="hy-AM"/>
              </w:rPr>
              <w:t xml:space="preserve">Սև միկրոպլանշետներ, թափանցիկ հատակով </w:t>
            </w:r>
          </w:p>
          <w:p w14:paraId="5F07C667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noProof/>
                <w:sz w:val="20"/>
                <w:lang w:eastAsia="en-US"/>
              </w:rPr>
              <w:drawing>
                <wp:inline distT="0" distB="0" distL="0" distR="0" wp14:anchorId="0FB52BFA" wp14:editId="3464C89F">
                  <wp:extent cx="1285875" cy="887254"/>
                  <wp:effectExtent l="0" t="0" r="0" b="8255"/>
                  <wp:docPr id="5" name="Picture 5" descr="Corning 3651 96-Well Non-Binding Surface Microplates, Fluorescence  Applications, Black, Clear-Bottom from Cole-Parmer Ind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orning 3651 96-Well Non-Binding Surface Microplates, Fluorescence  Applications, Black, Clear-Bottom from Cole-Parmer Indi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6715" cy="8947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5354B4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Corning Life Sciences, VWR, Thermo Fisher Scientific կամ </w:t>
            </w:r>
            <w:r w:rsidRPr="00E87403">
              <w:rPr>
                <w:rFonts w:ascii="Sylfaen" w:hAnsi="Sylfaen" w:cs="Sylfaen"/>
                <w:bCs/>
                <w:sz w:val="20"/>
                <w:lang w:val="hy-AM"/>
              </w:rPr>
              <w:t>Greiner Bio-One</w:t>
            </w:r>
          </w:p>
          <w:p w14:paraId="3FE55DD3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Նախատեսված են 300-700 նմ ֆլյուորեսցենտային, FRET և ֆլյուորեսցենտային բևեռացման տիպի չափումներ կատարելու համար։ Համատեղելի են բազմագործառույթային միկրոպլանշետային սպեկտրալուսաչափի</w:t>
            </w:r>
          </w:p>
          <w:p w14:paraId="5D4D38B9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/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հետ։ Համապատասխանում է ամերիկյան Ստանդարտների ազգային ինստիտուտի (ANSI) (ANSI/SBS 1-2004) առաջարկություններին։ Միկրոպլանշետի սպիտակ պատի թիթեղները ուժեղացնում են լյումինեսցենտային ազդանշանները և ունեն ցածր ֆոնային լյումինեսցենցիա և ֆլյուորեսցենցիա: Միկրոպլանշետի ձևաչափը 96-անցք։ Անցքերը կլոր, թափանցիկ, հատակը՝ հարթ, որի շնորհիվ կարոող է կիրառվել նաև մանրադիտակային մեթոդներում։ Կարող է օգտագործվել վերևից և ներքևից չափող սարքերում: Անցքի առավելագույն ծավալը՝ 360 մկլ, աշխատանքային ծավալները՝ 75-ից 200 մկլ։ Մանրէազերծվում են գամմա ճառագայթմամբ և պիրոգեն չեն: Անցքերի նույնականացման անհատական և թվային</w:t>
            </w:r>
          </w:p>
          <w:p w14:paraId="7685FF93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այբբենական կոդեր: Յուրաքանչյուրը ունի անհատական փաթեթավորում: Մատակարարել տուփերով, յուրաքանչյուրում 10 հատ՝ առանձին փաթեթավորումներով։ </w:t>
            </w:r>
          </w:p>
          <w:p w14:paraId="0DAA9999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</w:p>
          <w:p w14:paraId="64D34B56" w14:textId="18BC75A5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Մատակարարումից առաջ համաձայնեցնել պատվիրատուի հետ։ Մատակարարումը նոր, չբացված և չօգտագործված տուփերով։ Առկա է արտադրողի հավաստագիր։</w:t>
            </w:r>
          </w:p>
          <w:p w14:paraId="4EF7A021" w14:textId="18FE0A65" w:rsidR="00AA1356" w:rsidRPr="00E87403" w:rsidRDefault="00AA1356" w:rsidP="00E87403">
            <w:pPr>
              <w:ind w:left="34" w:right="34"/>
              <w:rPr>
                <w:rFonts w:ascii="Sylfaen" w:hAnsi="Sylfaen"/>
                <w:noProof/>
                <w:sz w:val="20"/>
                <w:lang w:val="hy-AM" w:eastAsia="en-US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lastRenderedPageBreak/>
              <w:t>Հավաքածուն համապատասխանում է 1 հատին։</w:t>
            </w:r>
          </w:p>
        </w:tc>
        <w:tc>
          <w:tcPr>
            <w:tcW w:w="620" w:type="dxa"/>
          </w:tcPr>
          <w:p w14:paraId="0CC6F652" w14:textId="124E1653" w:rsidR="00AA1356" w:rsidRPr="00E87403" w:rsidRDefault="00AA1356" w:rsidP="00E87403">
            <w:pPr>
              <w:rPr>
                <w:rFonts w:ascii="Sylfaen" w:hAnsi="Sylfaen" w:cs="Arial"/>
                <w:sz w:val="20"/>
              </w:rPr>
            </w:pPr>
            <w:r w:rsidRPr="00E87403">
              <w:rPr>
                <w:rFonts w:ascii="Sylfaen" w:hAnsi="Sylfaen" w:cs="Arial"/>
                <w:sz w:val="20"/>
              </w:rPr>
              <w:lastRenderedPageBreak/>
              <w:t>հատ</w:t>
            </w:r>
          </w:p>
        </w:tc>
        <w:tc>
          <w:tcPr>
            <w:tcW w:w="567" w:type="dxa"/>
          </w:tcPr>
          <w:p w14:paraId="1BC55321" w14:textId="02710041" w:rsidR="00AA1356" w:rsidRPr="00E87403" w:rsidRDefault="00AA1356" w:rsidP="00E87403">
            <w:pPr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1</w:t>
            </w:r>
          </w:p>
        </w:tc>
        <w:tc>
          <w:tcPr>
            <w:tcW w:w="708" w:type="dxa"/>
            <w:vAlign w:val="center"/>
          </w:tcPr>
          <w:p w14:paraId="7C12EA6F" w14:textId="31E3760D" w:rsidR="00AA1356" w:rsidRPr="00E87403" w:rsidRDefault="00AA1356" w:rsidP="00E87403">
            <w:pPr>
              <w:tabs>
                <w:tab w:val="left" w:pos="0"/>
              </w:tabs>
              <w:rPr>
                <w:rFonts w:ascii="Sylfaen" w:hAnsi="Sylfaen" w:cs="Arial"/>
                <w:sz w:val="20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Ալեք Մանուկյան 1/</w:t>
            </w:r>
            <w:r w:rsidRPr="00E87403">
              <w:rPr>
                <w:rFonts w:ascii="Sylfaen" w:hAnsi="Sylfaen" w:cs="Arial"/>
                <w:sz w:val="20"/>
              </w:rPr>
              <w:t>3</w:t>
            </w:r>
          </w:p>
        </w:tc>
        <w:tc>
          <w:tcPr>
            <w:tcW w:w="2570" w:type="dxa"/>
          </w:tcPr>
          <w:p w14:paraId="7CB88F2B" w14:textId="36003056" w:rsidR="00AA1356" w:rsidRPr="00E87403" w:rsidRDefault="00AA1356" w:rsidP="00E87403">
            <w:pPr>
              <w:rPr>
                <w:rFonts w:ascii="Sylfaen" w:hAnsi="Sylfaen"/>
                <w:bCs/>
                <w:sz w:val="20"/>
                <w:lang w:val="hy-AM"/>
              </w:rPr>
            </w:pPr>
            <w:r w:rsidRPr="00E87403">
              <w:rPr>
                <w:rFonts w:ascii="Sylfaen" w:hAnsi="Sylfaen"/>
                <w:bCs/>
                <w:sz w:val="20"/>
                <w:lang w:val="hy-AM"/>
              </w:rPr>
              <w:t>Պայմանագիրը կնքելուց հետո 6 ամսվա ընթացքում</w:t>
            </w:r>
          </w:p>
        </w:tc>
      </w:tr>
      <w:tr w:rsidR="00AA1356" w:rsidRPr="00816AAE" w14:paraId="39566EA2" w14:textId="77777777" w:rsidTr="00E87403">
        <w:trPr>
          <w:trHeight w:val="358"/>
        </w:trPr>
        <w:tc>
          <w:tcPr>
            <w:tcW w:w="543" w:type="dxa"/>
          </w:tcPr>
          <w:p w14:paraId="0A90A221" w14:textId="77777777" w:rsidR="00AA1356" w:rsidRPr="00E87403" w:rsidRDefault="00AA1356" w:rsidP="00E87403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Sylfaen" w:hAnsi="Sylfaen"/>
                <w:color w:val="262626" w:themeColor="text1" w:themeTint="D9"/>
                <w:sz w:val="20"/>
                <w:lang w:val="hy-AM"/>
              </w:rPr>
            </w:pPr>
          </w:p>
        </w:tc>
        <w:tc>
          <w:tcPr>
            <w:tcW w:w="1453" w:type="dxa"/>
            <w:gridSpan w:val="2"/>
          </w:tcPr>
          <w:p w14:paraId="1F33F319" w14:textId="77777777" w:rsidR="00AA1356" w:rsidRPr="00E87403" w:rsidRDefault="00AA1356" w:rsidP="00E87403">
            <w:pPr>
              <w:rPr>
                <w:rFonts w:ascii="Sylfaen" w:hAnsi="Sylfaen" w:cs="Calibri"/>
                <w:color w:val="37474F"/>
                <w:sz w:val="20"/>
                <w:lang w:eastAsia="en-US"/>
              </w:rPr>
            </w:pPr>
            <w:r w:rsidRPr="00E87403">
              <w:rPr>
                <w:rFonts w:ascii="Sylfaen" w:hAnsi="Sylfaen" w:cs="Calibri"/>
                <w:color w:val="37474F"/>
                <w:sz w:val="20"/>
              </w:rPr>
              <w:br/>
              <w:t>38591200/46</w:t>
            </w:r>
          </w:p>
          <w:p w14:paraId="69A8793E" w14:textId="77777777" w:rsidR="00AA1356" w:rsidRPr="00E87403" w:rsidRDefault="00AA1356" w:rsidP="00E87403">
            <w:pPr>
              <w:rPr>
                <w:rFonts w:ascii="Sylfaen" w:hAnsi="Sylfaen"/>
                <w:sz w:val="20"/>
                <w:highlight w:val="yellow"/>
                <w:lang w:val="hy-AM"/>
              </w:rPr>
            </w:pPr>
          </w:p>
        </w:tc>
        <w:tc>
          <w:tcPr>
            <w:tcW w:w="1585" w:type="dxa"/>
          </w:tcPr>
          <w:p w14:paraId="7F4034A2" w14:textId="43DF060E" w:rsidR="00AA1356" w:rsidRPr="00E87403" w:rsidRDefault="00AA1356" w:rsidP="00E87403">
            <w:pPr>
              <w:ind w:left="34"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Ավտոմատ սարքավորման տիտրատոր իր լրամասով</w:t>
            </w:r>
          </w:p>
        </w:tc>
        <w:tc>
          <w:tcPr>
            <w:tcW w:w="6871" w:type="dxa"/>
            <w:vAlign w:val="center"/>
          </w:tcPr>
          <w:p w14:paraId="6A30DF25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/>
                <w:noProof/>
                <w:sz w:val="20"/>
                <w:lang w:eastAsia="en-US"/>
              </w:rPr>
              <w:drawing>
                <wp:inline distT="0" distB="0" distL="0" distR="0" wp14:anchorId="4F2F772D" wp14:editId="6AFBD163">
                  <wp:extent cx="1371600" cy="1371600"/>
                  <wp:effectExtent l="0" t="0" r="0" b="0"/>
                  <wp:docPr id="1" name="Picture 1" descr="HI902C2 – Titration System – Potentiometric – 2 analog boards - Hanna  Instruments (Thailan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I902C2 – Titration System – Potentiometric – 2 analog boards - Hanna  Instruments (Thailan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395448" cy="1395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ED84D3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</w:rPr>
            </w:pPr>
            <w:r w:rsidRPr="00E87403">
              <w:rPr>
                <w:rFonts w:ascii="Sylfaen" w:hAnsi="Sylfaen" w:cs="Sylfaen"/>
                <w:sz w:val="20"/>
              </w:rPr>
              <w:t>Hanna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, </w:t>
            </w:r>
            <w:r w:rsidRPr="00E87403">
              <w:rPr>
                <w:rFonts w:ascii="Sylfaen" w:hAnsi="Sylfaen" w:cs="Sylfaen"/>
                <w:sz w:val="20"/>
              </w:rPr>
              <w:t>Metrohm Titrando, Endress Hauser Proline կամ Thermo Scientific Orion</w:t>
            </w:r>
          </w:p>
          <w:p w14:paraId="060D928F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</w:rPr>
              <w:t xml:space="preserve">1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հատ</w:t>
            </w:r>
          </w:p>
          <w:p w14:paraId="51BC2DD2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Ավտոմատ սարքավորման տիտրատորը</w:t>
            </w:r>
            <w:r w:rsidRPr="00E87403">
              <w:rPr>
                <w:rFonts w:ascii="Sylfaen" w:hAnsi="Sylfaen"/>
                <w:sz w:val="20"/>
                <w:lang w:val="hy-AM"/>
              </w:rPr>
              <w:t xml:space="preserve">,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որն իրականացնում է արագ և ճշգրիտ լաբորատոր տիտրումներ՝ 100-ից ավել մեթոդներով կարող է կատարել թթվահիմնային, պոտենցիոմետրիկ, ՕՎՊ, կոմպլեքսաչափական և հակադարձ տիտրումներ: Այս տիտրատորը կարող է իրականացնել ստանդարտ կամ օգտագործողի կողմից սահմանված մինչև 100 մեթոդ: Սարքի բնութագրերն են՝ -2000.0-ից մինչև 2000.0 մՎ; -2000-ից 20000 pH; -5,0-ից 105,0°C/23-ից 221°F/268,2-ից մինչև 378,2 Կ: Համակարգը ներառում է տարբեր չափերի (5, 10 և 25 մլ) բյուրետներ: Սարքը ներառում է ծրագրավորվող խառնիչներ, որոնք առաջարկում են պտուտակի տիպի խառնում 100-ից մինչև 2500 rpm արագությամբ, որոնք ավտոմատ կերպով պահպանվում են սահմանված արժեքի 10%-ի սահմաններում: Տրամաչափումը հնարավոր է իրականացնել մինչև հինգ կետով pH-ի և ISE-ի համար, և մեկ կետով տրամաչափում mV համար: Համակարգը կարող է պահել մինչև 100 տիտրման և pH/mV/ISE հաշվետվություններ՝ հեշտացնելով տվյալների համապարփակ վերլուծությունը և փաստաթղթավորումը:</w:t>
            </w:r>
          </w:p>
          <w:p w14:paraId="3B36C222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</w:p>
          <w:p w14:paraId="3EC25AF5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Լրամասում առկա է 1 հատ դիպենսեր հեղուկների հետ հեշտ աշխատելու համար։ </w:t>
            </w:r>
          </w:p>
          <w:p w14:paraId="41284338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</w:rPr>
            </w:pPr>
            <w:r w:rsidRPr="00E87403">
              <w:rPr>
                <w:rFonts w:ascii="Sylfaen" w:hAnsi="Sylfaen"/>
                <w:noProof/>
                <w:sz w:val="20"/>
                <w:lang w:eastAsia="en-US"/>
              </w:rPr>
              <w:drawing>
                <wp:inline distT="0" distB="0" distL="0" distR="0" wp14:anchorId="599CAD36" wp14:editId="6AADE055">
                  <wp:extent cx="893712" cy="1588418"/>
                  <wp:effectExtent l="0" t="0" r="1905" b="0"/>
                  <wp:docPr id="7" name="Picture 7" descr="Bottle-top dispensers Dispensette® S, analog-adjustable, DE-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Bottle-top dispensers Dispensette® S, analog-adjustable, DE-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2466" cy="1657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0A7897F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</w:rPr>
              <w:lastRenderedPageBreak/>
              <w:t xml:space="preserve">Brand, Eppendorf – Xplorer™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Կամ Hamilton – Microlab®</w:t>
            </w:r>
          </w:p>
          <w:p w14:paraId="765291EB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Դիսպենսերը թույլ է տալիս աշխատել հեղուկների հետ անմիջապես շշերից կամ այլ տարաներից։ Դրանք խնայում են ժամանակը և ապահվում անվտանգություն, քանի որ չեն պահանջվում աշխատանքի միջանկյալ փուլեր։ </w:t>
            </w:r>
          </w:p>
          <w:p w14:paraId="58B4DAD5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Հավաքածուն ներառում է 25 մլ ծավալով դիսպենսեր նախատեսված GL 45 տեսակի շշերի համար, խողովակ (երկարությունը 170–330 մմ), վերաշրջանառության խողովակ, 2 մարտկոց առնվազն 1,5 В (AAA/UM4/LR03), 3 պոլիպրոպիլենային ադապտեր շշերի համար (GL 32-33, GL 38, S 40, NS 29/32),  որակի հավաստագիր և աշխատանքային  ձեռնարկ: Դիսպենսերն ունի պարզ և արդյունավետ դիզայն շշին ամրացման համար, առանձին միացման/անջատման, դադարի, և CLEAR  կոճակներ։ Կարող է օգտագործվել մինչև 1 Մ ջրային և ոչ ջրային լուծույթների համար (օրինակ՝ КОН-ի էթանոլային լուծույթ)։ Հեղուկի հետ հաղորդակցվող մասերը պատրաստված են կայուն նյութերից։</w:t>
            </w:r>
          </w:p>
          <w:p w14:paraId="2D3BFDF7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Աշխատանքային ջերմաստիճան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 +15 °C-ից +40 °C սարքի և նյութի համար </w:t>
            </w:r>
          </w:p>
          <w:p w14:paraId="718AA560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Գոլորշու ճնշումը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 մինչև 500 մԲար </w:t>
            </w:r>
          </w:p>
          <w:p w14:paraId="6EF73A00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Մածուցիկությունը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 մինչև 500 մմ² /վ</w:t>
            </w:r>
          </w:p>
          <w:p w14:paraId="1D790205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Բարձրություն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 առավելագույնը ծովի մակարդակից 3000 մ </w:t>
            </w:r>
          </w:p>
          <w:p w14:paraId="464F4292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Հարաբերական խոնավությունը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 20 %-ից 90%</w:t>
            </w:r>
          </w:p>
          <w:p w14:paraId="69B9C330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Ծավալը մինչև 25 մլ-ի համար՝</w:t>
            </w:r>
          </w:p>
          <w:p w14:paraId="1681F4B6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Ճշգրտությունը %-ով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 (±) առնվազն 0,07%</w:t>
            </w:r>
          </w:p>
          <w:p w14:paraId="1295AFA7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Ճշգրտությունը մկլ-ով (±)առնվազն 18 մկլ</w:t>
            </w:r>
          </w:p>
          <w:p w14:paraId="138062BA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Տատանման գործակից (%) մինչև 0,025%</w:t>
            </w:r>
          </w:p>
          <w:p w14:paraId="3F5830DE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Տատանման գործակից (մկլ) 6 մկլ</w:t>
            </w:r>
          </w:p>
          <w:p w14:paraId="35579070" w14:textId="6252CCFA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Մատակարարումից առաջ համաձայնեցնել պատվիրատուի հետ։ Մատակարարումը նոր, չբացված և չօգտագործված տուփերով։ Առկա է արտադրողի հավաստագիր։</w:t>
            </w:r>
          </w:p>
          <w:p w14:paraId="5D302762" w14:textId="7B4CDFB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Հավաքածուն համապատասխանում է 1 հատին։</w:t>
            </w:r>
          </w:p>
        </w:tc>
        <w:tc>
          <w:tcPr>
            <w:tcW w:w="620" w:type="dxa"/>
            <w:vAlign w:val="center"/>
          </w:tcPr>
          <w:p w14:paraId="1B63B03F" w14:textId="000C74CE" w:rsidR="00AA1356" w:rsidRPr="00E87403" w:rsidRDefault="00AA1356" w:rsidP="00E87403">
            <w:pPr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lastRenderedPageBreak/>
              <w:t>Հատ</w:t>
            </w:r>
          </w:p>
        </w:tc>
        <w:tc>
          <w:tcPr>
            <w:tcW w:w="567" w:type="dxa"/>
            <w:vAlign w:val="center"/>
          </w:tcPr>
          <w:p w14:paraId="10897E75" w14:textId="60AAE911" w:rsidR="00AA1356" w:rsidRPr="00E87403" w:rsidRDefault="00AA1356" w:rsidP="00E87403">
            <w:pPr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1</w:t>
            </w:r>
          </w:p>
        </w:tc>
        <w:tc>
          <w:tcPr>
            <w:tcW w:w="708" w:type="dxa"/>
            <w:vAlign w:val="center"/>
          </w:tcPr>
          <w:p w14:paraId="05C4F94B" w14:textId="1B0A915F" w:rsidR="00AA1356" w:rsidRPr="00E87403" w:rsidRDefault="00AA1356" w:rsidP="00E87403">
            <w:pPr>
              <w:tabs>
                <w:tab w:val="left" w:pos="0"/>
              </w:tabs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Ալեք Մանուկյան 1/</w:t>
            </w:r>
            <w:r w:rsidRPr="00E87403">
              <w:rPr>
                <w:rFonts w:ascii="Sylfaen" w:hAnsi="Sylfaen" w:cs="Arial"/>
                <w:sz w:val="20"/>
              </w:rPr>
              <w:t>3</w:t>
            </w:r>
          </w:p>
        </w:tc>
        <w:tc>
          <w:tcPr>
            <w:tcW w:w="2570" w:type="dxa"/>
          </w:tcPr>
          <w:p w14:paraId="709C5ADB" w14:textId="7F77AAEC" w:rsidR="00AA1356" w:rsidRPr="00E87403" w:rsidRDefault="00AA1356" w:rsidP="00E87403">
            <w:pPr>
              <w:rPr>
                <w:rFonts w:ascii="Sylfaen" w:hAnsi="Sylfaen"/>
                <w:bCs/>
                <w:sz w:val="20"/>
                <w:lang w:val="hy-AM"/>
              </w:rPr>
            </w:pPr>
            <w:r w:rsidRPr="00E87403">
              <w:rPr>
                <w:rFonts w:ascii="Sylfaen" w:hAnsi="Sylfaen"/>
                <w:bCs/>
                <w:sz w:val="20"/>
                <w:lang w:val="hy-AM"/>
              </w:rPr>
              <w:t>Պայմանագիրը կնքելուց հետո 6 ամսվա ընթացքում</w:t>
            </w:r>
          </w:p>
        </w:tc>
      </w:tr>
    </w:tbl>
    <w:p w14:paraId="1C5FD514" w14:textId="77777777" w:rsidR="00253911" w:rsidRPr="00E87403" w:rsidRDefault="00253911" w:rsidP="00E87403">
      <w:pPr>
        <w:rPr>
          <w:rFonts w:ascii="Sylfaen" w:hAnsi="Sylfaen"/>
          <w:b/>
          <w:sz w:val="20"/>
          <w:u w:val="single"/>
          <w:lang w:val="hy-AM"/>
        </w:rPr>
      </w:pPr>
    </w:p>
    <w:p w14:paraId="65B142F5" w14:textId="55362C98" w:rsidR="00E81156" w:rsidRPr="00E87403" w:rsidRDefault="00E81156" w:rsidP="00E87403">
      <w:pPr>
        <w:rPr>
          <w:rFonts w:ascii="Sylfaen" w:hAnsi="Sylfaen"/>
          <w:sz w:val="20"/>
          <w:lang w:val="hy-AM"/>
        </w:rPr>
      </w:pPr>
      <w:bookmarkStart w:id="1" w:name="_Hlk156075254"/>
    </w:p>
    <w:p w14:paraId="265908FE" w14:textId="63CA942C" w:rsidR="00361ECB" w:rsidRPr="00E87403" w:rsidRDefault="00361ECB" w:rsidP="00D92593">
      <w:pPr>
        <w:spacing w:line="276" w:lineRule="auto"/>
        <w:ind w:right="-384"/>
        <w:rPr>
          <w:rFonts w:ascii="Sylfaen" w:hAnsi="Sylfaen" w:cs="Arial"/>
          <w:b/>
          <w:sz w:val="20"/>
          <w:lang w:val="hy-AM"/>
        </w:rPr>
      </w:pPr>
    </w:p>
    <w:p w14:paraId="14D8A4EE" w14:textId="23F4CD48" w:rsidR="00E81156" w:rsidRPr="00E87403" w:rsidRDefault="0056387A" w:rsidP="00E87403">
      <w:pPr>
        <w:spacing w:line="276" w:lineRule="auto"/>
        <w:ind w:right="-384"/>
        <w:rPr>
          <w:rFonts w:ascii="Sylfaen" w:hAnsi="Sylfaen" w:cs="Arial"/>
          <w:b/>
          <w:sz w:val="20"/>
          <w:lang w:val="ru-RU"/>
        </w:rPr>
      </w:pPr>
      <w:r w:rsidRPr="00D76412">
        <w:rPr>
          <w:rFonts w:ascii="Sylfaen" w:hAnsi="Sylfaen" w:cs="Arial"/>
          <w:b/>
          <w:sz w:val="20"/>
          <w:lang w:val="hy-AM"/>
        </w:rPr>
        <w:t xml:space="preserve">                                                                                                    </w:t>
      </w:r>
      <w:r w:rsidR="00E81156" w:rsidRPr="00D76412">
        <w:rPr>
          <w:rFonts w:ascii="Sylfaen" w:hAnsi="Sylfaen" w:cs="Arial"/>
          <w:b/>
          <w:sz w:val="20"/>
          <w:lang w:val="hy-AM"/>
        </w:rPr>
        <w:t xml:space="preserve"> </w:t>
      </w:r>
      <w:r w:rsidR="00E81156" w:rsidRPr="00E87403">
        <w:rPr>
          <w:rFonts w:ascii="Sylfaen" w:hAnsi="Sylfaen" w:cs="Arial"/>
          <w:b/>
          <w:sz w:val="20"/>
          <w:lang w:val="ru-RU"/>
        </w:rPr>
        <w:t xml:space="preserve">ТЕХНИЧЕСКИЕ ХАРАКТЕРИСТИКИ </w:t>
      </w:r>
    </w:p>
    <w:p w14:paraId="563BEC2B" w14:textId="77777777" w:rsidR="00E81156" w:rsidRPr="00E87403" w:rsidRDefault="00E81156" w:rsidP="00E87403">
      <w:pPr>
        <w:spacing w:line="276" w:lineRule="auto"/>
        <w:ind w:right="-384"/>
        <w:rPr>
          <w:rFonts w:ascii="Sylfaen" w:hAnsi="Sylfaen" w:cs="Arial"/>
          <w:b/>
          <w:sz w:val="20"/>
          <w:lang w:val="ru-RU"/>
        </w:rPr>
      </w:pPr>
    </w:p>
    <w:tbl>
      <w:tblPr>
        <w:tblW w:w="1476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" w:type="dxa"/>
          <w:right w:w="11" w:type="dxa"/>
        </w:tblCellMar>
        <w:tblLook w:val="04A0" w:firstRow="1" w:lastRow="0" w:firstColumn="1" w:lastColumn="0" w:noHBand="0" w:noVBand="1"/>
      </w:tblPr>
      <w:tblGrid>
        <w:gridCol w:w="851"/>
        <w:gridCol w:w="1270"/>
        <w:gridCol w:w="1371"/>
        <w:gridCol w:w="6431"/>
        <w:gridCol w:w="709"/>
        <w:gridCol w:w="567"/>
        <w:gridCol w:w="1671"/>
        <w:gridCol w:w="1890"/>
      </w:tblGrid>
      <w:tr w:rsidR="00E81156" w:rsidRPr="00E87403" w14:paraId="5D3B9C39" w14:textId="77777777" w:rsidTr="00AA1356">
        <w:trPr>
          <w:trHeight w:val="422"/>
        </w:trPr>
        <w:tc>
          <w:tcPr>
            <w:tcW w:w="851" w:type="dxa"/>
          </w:tcPr>
          <w:p w14:paraId="53DFFFD1" w14:textId="77777777" w:rsidR="00E81156" w:rsidRPr="00E87403" w:rsidRDefault="00E81156" w:rsidP="00E87403">
            <w:pPr>
              <w:rPr>
                <w:rFonts w:ascii="Sylfaen" w:hAnsi="Sylfaen"/>
                <w:sz w:val="20"/>
                <w:lang w:val="ru-RU" w:bidi="ru-RU"/>
              </w:rPr>
            </w:pPr>
            <w:bookmarkStart w:id="2" w:name="_Hlk160928953"/>
          </w:p>
        </w:tc>
        <w:tc>
          <w:tcPr>
            <w:tcW w:w="1270" w:type="dxa"/>
          </w:tcPr>
          <w:p w14:paraId="5365D8BB" w14:textId="77777777" w:rsidR="00E81156" w:rsidRPr="00E87403" w:rsidRDefault="00E81156" w:rsidP="00E87403">
            <w:pPr>
              <w:rPr>
                <w:rFonts w:ascii="Sylfaen" w:hAnsi="Sylfaen"/>
                <w:sz w:val="20"/>
                <w:lang w:val="ru-RU" w:bidi="ru-RU"/>
              </w:rPr>
            </w:pPr>
          </w:p>
        </w:tc>
        <w:tc>
          <w:tcPr>
            <w:tcW w:w="12639" w:type="dxa"/>
            <w:gridSpan w:val="6"/>
          </w:tcPr>
          <w:p w14:paraId="053855AE" w14:textId="77777777" w:rsidR="00E81156" w:rsidRPr="00E87403" w:rsidRDefault="00E81156" w:rsidP="00E87403">
            <w:pPr>
              <w:rPr>
                <w:rFonts w:ascii="Sylfaen" w:hAnsi="Sylfaen"/>
                <w:sz w:val="20"/>
                <w:lang w:bidi="ru-RU"/>
              </w:rPr>
            </w:pPr>
            <w:r w:rsidRPr="00E87403">
              <w:rPr>
                <w:rFonts w:ascii="Sylfaen" w:hAnsi="Sylfaen"/>
                <w:sz w:val="20"/>
                <w:lang w:bidi="ru-RU"/>
              </w:rPr>
              <w:t>Товар</w:t>
            </w:r>
          </w:p>
        </w:tc>
      </w:tr>
      <w:tr w:rsidR="00AA1356" w:rsidRPr="00E87403" w14:paraId="6B64790E" w14:textId="77777777" w:rsidTr="00AA1356">
        <w:trPr>
          <w:trHeight w:val="247"/>
        </w:trPr>
        <w:tc>
          <w:tcPr>
            <w:tcW w:w="851" w:type="dxa"/>
            <w:vMerge w:val="restart"/>
          </w:tcPr>
          <w:p w14:paraId="52E51065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  <w:r w:rsidRPr="00E87403">
              <w:rPr>
                <w:rFonts w:ascii="Sylfaen" w:hAnsi="Sylfaen"/>
                <w:sz w:val="20"/>
                <w:lang w:val="pt-BR"/>
              </w:rPr>
              <w:t>номер предус</w:t>
            </w:r>
            <w:r w:rsidRPr="00E87403">
              <w:rPr>
                <w:rFonts w:ascii="Sylfaen" w:hAnsi="Sylfaen"/>
                <w:sz w:val="20"/>
                <w:lang w:val="pt-BR"/>
              </w:rPr>
              <w:softHyphen/>
              <w:t>мотренного приглашением</w:t>
            </w:r>
          </w:p>
          <w:p w14:paraId="38B2DCCA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  <w:r w:rsidRPr="00E87403">
              <w:rPr>
                <w:rFonts w:ascii="Sylfaen" w:hAnsi="Sylfaen"/>
                <w:sz w:val="20"/>
                <w:lang w:val="pt-BR"/>
              </w:rPr>
              <w:t>лота</w:t>
            </w:r>
          </w:p>
        </w:tc>
        <w:tc>
          <w:tcPr>
            <w:tcW w:w="1270" w:type="dxa"/>
            <w:vMerge w:val="restart"/>
          </w:tcPr>
          <w:p w14:paraId="40CD1304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промежуточный код, предусмотренный планом</w:t>
            </w:r>
          </w:p>
          <w:p w14:paraId="165F4DEF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закупок по классификации</w:t>
            </w:r>
          </w:p>
          <w:p w14:paraId="613D7641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  <w:r w:rsidRPr="00E87403">
              <w:rPr>
                <w:rFonts w:ascii="Sylfaen" w:hAnsi="Sylfaen"/>
                <w:sz w:val="20"/>
                <w:lang w:val="pt-BR"/>
              </w:rPr>
              <w:t>ЕЗК (CPV)</w:t>
            </w:r>
          </w:p>
        </w:tc>
        <w:tc>
          <w:tcPr>
            <w:tcW w:w="1371" w:type="dxa"/>
            <w:vMerge w:val="restart"/>
          </w:tcPr>
          <w:p w14:paraId="0DEE90CE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Наименование</w:t>
            </w:r>
          </w:p>
        </w:tc>
        <w:tc>
          <w:tcPr>
            <w:tcW w:w="6431" w:type="dxa"/>
          </w:tcPr>
          <w:p w14:paraId="1435E59D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</w:p>
        </w:tc>
        <w:tc>
          <w:tcPr>
            <w:tcW w:w="709" w:type="dxa"/>
            <w:vMerge w:val="restart"/>
          </w:tcPr>
          <w:p w14:paraId="72B6630B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  <w:r w:rsidRPr="00E87403">
              <w:rPr>
                <w:rFonts w:ascii="Sylfaen" w:hAnsi="Sylfaen"/>
                <w:sz w:val="20"/>
                <w:lang w:val="pt-BR"/>
              </w:rPr>
              <w:t>единица измерения</w:t>
            </w:r>
          </w:p>
        </w:tc>
        <w:tc>
          <w:tcPr>
            <w:tcW w:w="567" w:type="dxa"/>
            <w:vMerge w:val="restart"/>
          </w:tcPr>
          <w:p w14:paraId="6408261D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  <w:r w:rsidRPr="00E87403">
              <w:rPr>
                <w:rFonts w:ascii="Sylfaen" w:hAnsi="Sylfaen"/>
                <w:sz w:val="20"/>
                <w:lang w:val="pt-BR"/>
              </w:rPr>
              <w:t>общий объем</w:t>
            </w:r>
          </w:p>
        </w:tc>
        <w:tc>
          <w:tcPr>
            <w:tcW w:w="3561" w:type="dxa"/>
            <w:gridSpan w:val="2"/>
          </w:tcPr>
          <w:p w14:paraId="27AB22D8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  <w:r w:rsidRPr="00E87403">
              <w:rPr>
                <w:rFonts w:ascii="Sylfaen" w:hAnsi="Sylfaen"/>
                <w:sz w:val="20"/>
                <w:lang w:val="pt-BR"/>
              </w:rPr>
              <w:t>предоставления</w:t>
            </w:r>
          </w:p>
        </w:tc>
      </w:tr>
      <w:tr w:rsidR="00AA1356" w:rsidRPr="00E87403" w14:paraId="12EA08E4" w14:textId="77777777" w:rsidTr="00AA1356">
        <w:trPr>
          <w:trHeight w:val="1108"/>
        </w:trPr>
        <w:tc>
          <w:tcPr>
            <w:tcW w:w="851" w:type="dxa"/>
            <w:vMerge/>
          </w:tcPr>
          <w:p w14:paraId="0884FDF5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</w:p>
        </w:tc>
        <w:tc>
          <w:tcPr>
            <w:tcW w:w="1270" w:type="dxa"/>
            <w:vMerge/>
          </w:tcPr>
          <w:p w14:paraId="710F5AD2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</w:p>
        </w:tc>
        <w:tc>
          <w:tcPr>
            <w:tcW w:w="1371" w:type="dxa"/>
            <w:vMerge/>
          </w:tcPr>
          <w:p w14:paraId="751C1AAE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</w:p>
        </w:tc>
        <w:tc>
          <w:tcPr>
            <w:tcW w:w="6431" w:type="dxa"/>
          </w:tcPr>
          <w:p w14:paraId="523870BB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  <w:r w:rsidRPr="00E87403">
              <w:rPr>
                <w:rFonts w:ascii="Sylfaen" w:hAnsi="Sylfaen"/>
                <w:sz w:val="20"/>
                <w:lang w:val="pt-BR"/>
              </w:rPr>
              <w:t>техни</w:t>
            </w:r>
            <w:r w:rsidRPr="00E87403">
              <w:rPr>
                <w:rFonts w:ascii="Sylfaen" w:hAnsi="Sylfaen"/>
                <w:sz w:val="20"/>
              </w:rPr>
              <w:t>че</w:t>
            </w:r>
            <w:r w:rsidRPr="00E87403">
              <w:rPr>
                <w:rFonts w:ascii="Sylfaen" w:hAnsi="Sylfaen"/>
                <w:sz w:val="20"/>
                <w:lang w:val="pt-BR"/>
              </w:rPr>
              <w:t>ская характеристика</w:t>
            </w:r>
          </w:p>
        </w:tc>
        <w:tc>
          <w:tcPr>
            <w:tcW w:w="709" w:type="dxa"/>
            <w:vMerge/>
          </w:tcPr>
          <w:p w14:paraId="5A49A8F2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</w:p>
        </w:tc>
        <w:tc>
          <w:tcPr>
            <w:tcW w:w="567" w:type="dxa"/>
            <w:vMerge/>
          </w:tcPr>
          <w:p w14:paraId="2E4AFE99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</w:p>
        </w:tc>
        <w:tc>
          <w:tcPr>
            <w:tcW w:w="1671" w:type="dxa"/>
          </w:tcPr>
          <w:p w14:paraId="0E160555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  <w:r w:rsidRPr="00E87403">
              <w:rPr>
                <w:rFonts w:ascii="Sylfaen" w:hAnsi="Sylfaen"/>
                <w:sz w:val="20"/>
                <w:lang w:val="pt-BR"/>
              </w:rPr>
              <w:t>Адрес</w:t>
            </w:r>
          </w:p>
          <w:p w14:paraId="7DD747DF" w14:textId="1345BAEE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</w:p>
        </w:tc>
        <w:tc>
          <w:tcPr>
            <w:tcW w:w="1890" w:type="dxa"/>
          </w:tcPr>
          <w:p w14:paraId="46ED267B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  <w:r w:rsidRPr="00E87403">
              <w:rPr>
                <w:rFonts w:ascii="Sylfaen" w:hAnsi="Sylfaen"/>
                <w:sz w:val="20"/>
                <w:lang w:val="pt-BR"/>
              </w:rPr>
              <w:t>срок</w:t>
            </w:r>
            <w:r w:rsidRPr="00E87403">
              <w:rPr>
                <w:rFonts w:ascii="Sylfaen" w:hAnsi="Sylfaen"/>
                <w:sz w:val="20"/>
                <w:lang w:val="pt-BR"/>
              </w:rPr>
              <w:footnoteReference w:customMarkFollows="1" w:id="1"/>
              <w:t>**</w:t>
            </w:r>
          </w:p>
        </w:tc>
      </w:tr>
      <w:tr w:rsidR="00AA1356" w:rsidRPr="00816AAE" w14:paraId="6F80C0DD" w14:textId="77777777" w:rsidTr="00AA1356">
        <w:trPr>
          <w:trHeight w:val="70"/>
        </w:trPr>
        <w:tc>
          <w:tcPr>
            <w:tcW w:w="851" w:type="dxa"/>
          </w:tcPr>
          <w:p w14:paraId="3763BBE4" w14:textId="77777777" w:rsidR="00AA1356" w:rsidRPr="00E87403" w:rsidRDefault="00AA1356" w:rsidP="00E87403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20"/>
                <w:lang w:val="ru-RU"/>
              </w:rPr>
            </w:pPr>
          </w:p>
        </w:tc>
        <w:tc>
          <w:tcPr>
            <w:tcW w:w="1270" w:type="dxa"/>
          </w:tcPr>
          <w:p w14:paraId="082BE1FD" w14:textId="5943F240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  <w:r w:rsidRPr="00E87403">
              <w:rPr>
                <w:rFonts w:ascii="Sylfaen" w:hAnsi="Sylfaen" w:cs="Calibri"/>
                <w:color w:val="37474F"/>
                <w:sz w:val="20"/>
                <w:shd w:val="clear" w:color="auto" w:fill="FFFFFF"/>
              </w:rPr>
              <w:t>38591200/43</w:t>
            </w:r>
          </w:p>
        </w:tc>
        <w:tc>
          <w:tcPr>
            <w:tcW w:w="1371" w:type="dxa"/>
          </w:tcPr>
          <w:p w14:paraId="16895751" w14:textId="6BCD5675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Камера UV/VIS / облучения </w:t>
            </w:r>
            <w:r w:rsidRPr="00E87403">
              <w:rPr>
                <w:rFonts w:ascii="Sylfaen" w:hAnsi="Sylfaen"/>
                <w:sz w:val="20"/>
              </w:rPr>
              <w:t>BS</w:t>
            </w:r>
            <w:r w:rsidRPr="00E87403">
              <w:rPr>
                <w:rFonts w:ascii="Sylfaen" w:hAnsi="Sylfaen"/>
                <w:sz w:val="20"/>
                <w:lang w:val="ru-RU"/>
              </w:rPr>
              <w:t>-04 и материалы для обслуживания оборудования</w:t>
            </w:r>
          </w:p>
        </w:tc>
        <w:tc>
          <w:tcPr>
            <w:tcW w:w="6431" w:type="dxa"/>
          </w:tcPr>
          <w:p w14:paraId="102FDB59" w14:textId="5153F8B0" w:rsidR="00AA1356" w:rsidRPr="00E87403" w:rsidRDefault="00AA1356" w:rsidP="00E87403">
            <w:pPr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ru-RU"/>
              </w:rPr>
              <w:t xml:space="preserve">Камера для испытаний на ультрафиолетовое облучение с калибровочными датчиками, подвижным держателем для образцов, модулем регулировки </w:t>
            </w:r>
            <w:r w:rsidRPr="00E87403">
              <w:rPr>
                <w:rFonts w:ascii="Sylfaen" w:hAnsi="Sylfaen" w:cs="Arial"/>
                <w:sz w:val="20"/>
              </w:rPr>
              <w:t>CO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2 и модулем </w:t>
            </w:r>
            <w:r w:rsidRPr="00E87403">
              <w:rPr>
                <w:rFonts w:ascii="Sylfaen" w:hAnsi="Sylfaen" w:cs="Arial"/>
                <w:sz w:val="20"/>
              </w:rPr>
              <w:t>Take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 3,</w:t>
            </w:r>
            <w:r w:rsidRPr="00E87403">
              <w:rPr>
                <w:rFonts w:ascii="Sylfaen" w:hAnsi="Sylfaen" w:cs="Arial"/>
                <w:sz w:val="20"/>
                <w:lang w:val="ru-RU"/>
              </w:rPr>
              <w:br/>
              <w:t>с регуляторами облучения:</w:t>
            </w:r>
            <w:r w:rsidRPr="00E87403">
              <w:rPr>
                <w:rFonts w:ascii="Sylfaen" w:hAnsi="Sylfaen" w:cs="Arial"/>
                <w:sz w:val="20"/>
                <w:lang w:val="ru-RU"/>
              </w:rPr>
              <w:br/>
            </w:r>
            <w:r w:rsidRPr="00E87403">
              <w:rPr>
                <w:rFonts w:ascii="Sylfaen" w:hAnsi="Sylfaen" w:cs="Arial"/>
                <w:sz w:val="20"/>
              </w:rPr>
              <w:t>UV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-</w:t>
            </w:r>
            <w:r w:rsidRPr="00E87403">
              <w:rPr>
                <w:rFonts w:ascii="Sylfaen" w:hAnsi="Sylfaen" w:cs="Arial"/>
                <w:sz w:val="20"/>
              </w:rPr>
              <w:t>MAT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 и </w:t>
            </w:r>
            <w:r w:rsidRPr="00E87403">
              <w:rPr>
                <w:rFonts w:ascii="Sylfaen" w:hAnsi="Sylfaen" w:cs="Arial"/>
                <w:sz w:val="20"/>
              </w:rPr>
              <w:t>UV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-</w:t>
            </w:r>
            <w:r w:rsidRPr="00E87403">
              <w:rPr>
                <w:rFonts w:ascii="Sylfaen" w:hAnsi="Sylfaen" w:cs="Arial"/>
                <w:sz w:val="20"/>
              </w:rPr>
              <w:t>MAT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</w:rPr>
              <w:t>Touch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.</w:t>
            </w:r>
            <w:r w:rsidRPr="00E87403">
              <w:rPr>
                <w:rFonts w:ascii="Sylfaen" w:hAnsi="Sylfaen" w:cs="Arial"/>
                <w:sz w:val="20"/>
                <w:lang w:val="ru-RU"/>
              </w:rPr>
              <w:br/>
              <w:t>Размеры: не менее 860</w:t>
            </w:r>
            <w:r w:rsidRPr="00E87403">
              <w:rPr>
                <w:rFonts w:ascii="Sylfaen" w:hAnsi="Sylfaen" w:cs="Arial"/>
                <w:sz w:val="20"/>
              </w:rPr>
              <w:t>x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650</w:t>
            </w:r>
            <w:r w:rsidRPr="00E87403">
              <w:rPr>
                <w:rFonts w:ascii="Sylfaen" w:hAnsi="Sylfaen" w:cs="Arial"/>
                <w:sz w:val="20"/>
              </w:rPr>
              <w:t>x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320 мм</w:t>
            </w:r>
            <w:r w:rsidRPr="00E87403">
              <w:rPr>
                <w:rFonts w:ascii="Sylfaen" w:hAnsi="Sylfaen" w:cs="Arial"/>
                <w:sz w:val="20"/>
                <w:lang w:val="ru-RU"/>
              </w:rPr>
              <w:br/>
              <w:t>(В</w:t>
            </w:r>
            <w:r w:rsidRPr="00E87403">
              <w:rPr>
                <w:rFonts w:ascii="Sylfaen" w:hAnsi="Sylfaen" w:cs="Arial"/>
                <w:sz w:val="20"/>
              </w:rPr>
              <w:t>x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Д</w:t>
            </w:r>
            <w:r w:rsidRPr="00E87403">
              <w:rPr>
                <w:rFonts w:ascii="Sylfaen" w:hAnsi="Sylfaen" w:cs="Arial"/>
                <w:sz w:val="20"/>
              </w:rPr>
              <w:t>x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Ш).</w:t>
            </w:r>
          </w:p>
          <w:p w14:paraId="1EAF4DDC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</w:p>
          <w:p w14:paraId="4102DE08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Химические вещества, необходимые для работы устройства:</w:t>
            </w:r>
          </w:p>
          <w:p w14:paraId="46EC7162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D-глюкоза-5 кг</w:t>
            </w:r>
          </w:p>
          <w:p w14:paraId="77C691A4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порошок белого цвета, сладкий, химически чистый.</w:t>
            </w:r>
          </w:p>
          <w:p w14:paraId="17CE4701" w14:textId="61EB18AF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Витамин С, L-аскорбиновая кислота – 5 г</w:t>
            </w:r>
          </w:p>
          <w:p w14:paraId="5F869FBE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Чистота: 99+%, белый порошок, формула: C6H8O6, молярная масса: 176,12.</w:t>
            </w:r>
          </w:p>
          <w:p w14:paraId="4AAB2692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N,N,N',N'-тетраметилэтилендиамин – 3 шт.</w:t>
            </w:r>
          </w:p>
          <w:p w14:paraId="22F3941F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Эмпирическая формула C6H16N2, Молярная масса (М) 116,21 г/моль, Плотность (D) 0,776 г/см³, ≥99 %, х.ч., для электрофореза, 25мл-1</w:t>
            </w:r>
          </w:p>
          <w:p w14:paraId="75861E02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Глицин – 10 кг</w:t>
            </w:r>
          </w:p>
          <w:p w14:paraId="353A2E22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Химическая формула: C2H5NO2, Молекулярная масса: 75,07 г/моль.</w:t>
            </w:r>
          </w:p>
          <w:p w14:paraId="1408AE7D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Это белое кристаллическое твердое вещество, растворимое в органических растворителях, таких как этанол и эфир.</w:t>
            </w:r>
          </w:p>
          <w:p w14:paraId="2C1AA69C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Персульфат аммония-10г</w:t>
            </w:r>
          </w:p>
          <w:p w14:paraId="1576872A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Используется в молекулярной биологии, для электрофореза, ≥98%, Линейная формула: (NH4)2S2O8, Номер CAS: 7727-54-0, Молекулярная масса: 228,20 г/моль,</w:t>
            </w:r>
          </w:p>
          <w:p w14:paraId="7F2C1D96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Молибдат аммония – 1 кг.</w:t>
            </w:r>
          </w:p>
          <w:p w14:paraId="5A7800B2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химическая формула: (NH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₇</w:t>
            </w:r>
            <w:r w:rsidRPr="00E87403">
              <w:rPr>
                <w:rFonts w:ascii="Sylfaen" w:hAnsi="Sylfaen"/>
                <w:sz w:val="20"/>
                <w:lang w:val="ru-RU"/>
              </w:rPr>
              <w:t>O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₂</w:t>
            </w:r>
            <w:r w:rsidRPr="00E87403">
              <w:rPr>
                <w:rFonts w:ascii="Sylfaen" w:hAnsi="Sylfaen" w:cs="Sylfaen"/>
                <w:sz w:val="20"/>
                <w:lang w:val="ru-RU"/>
              </w:rPr>
              <w:t>·</w:t>
            </w:r>
            <w:r w:rsidRPr="00E87403">
              <w:rPr>
                <w:rFonts w:ascii="Sylfaen" w:hAnsi="Sylfaen"/>
                <w:sz w:val="20"/>
                <w:lang w:val="ru-RU"/>
              </w:rPr>
              <w:t>4H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₂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O) </w:t>
            </w:r>
            <w:r w:rsidRPr="00E87403">
              <w:rPr>
                <w:rFonts w:ascii="Sylfaen" w:hAnsi="Sylfaen" w:cs="Sylfaen"/>
                <w:sz w:val="20"/>
                <w:lang w:val="ru-RU"/>
              </w:rPr>
              <w:t>—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 белое кристаллическое вещество, хорошо растворимое, температура плавления: около 90°С (с потерей воды), плотность: около 2,498 г/см³.</w:t>
            </w:r>
          </w:p>
          <w:p w14:paraId="48BF9A95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Белковый стандарт для электрофореза – 2 шт.</w:t>
            </w:r>
          </w:p>
          <w:p w14:paraId="367B5D9C" w14:textId="77777777" w:rsidR="00AA1356" w:rsidRPr="00E87403" w:rsidRDefault="00AA1356" w:rsidP="00E87403">
            <w:pPr>
              <w:spacing w:after="200" w:line="276" w:lineRule="auto"/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bCs/>
                <w:sz w:val="20"/>
                <w:lang w:val="ru-RU"/>
              </w:rPr>
              <w:lastRenderedPageBreak/>
              <w:t xml:space="preserve">Протеиновый стандарт для </w:t>
            </w:r>
            <w:r w:rsidRPr="00E87403">
              <w:rPr>
                <w:rFonts w:ascii="Sylfaen" w:hAnsi="Sylfaen" w:cs="Arial"/>
                <w:bCs/>
                <w:sz w:val="20"/>
              </w:rPr>
              <w:t>SDS</w:t>
            </w:r>
            <w:r w:rsidRPr="00E87403">
              <w:rPr>
                <w:rFonts w:ascii="Sylfaen" w:hAnsi="Sylfaen" w:cs="Arial"/>
                <w:bCs/>
                <w:sz w:val="20"/>
                <w:lang w:val="ru-RU"/>
              </w:rPr>
              <w:t>-</w:t>
            </w:r>
            <w:r w:rsidRPr="00E87403">
              <w:rPr>
                <w:rFonts w:ascii="Sylfaen" w:hAnsi="Sylfaen" w:cs="Arial"/>
                <w:bCs/>
                <w:sz w:val="20"/>
              </w:rPr>
              <w:t>PAGE</w:t>
            </w:r>
            <w:r w:rsidRPr="00E87403">
              <w:rPr>
                <w:rFonts w:ascii="Sylfaen" w:hAnsi="Sylfaen" w:cs="Arial"/>
                <w:sz w:val="20"/>
                <w:lang w:val="ru-RU"/>
              </w:rPr>
              <w:br/>
              <w:t>Серия белков с молекулярной массой от 10 до 250 кДа, с возможностью визуализации различных белков, содержащих разные компоненты. Объем: 1 шт. - 500 мкл.</w:t>
            </w:r>
          </w:p>
          <w:p w14:paraId="3F369A89" w14:textId="1365218B" w:rsidR="00AA1356" w:rsidRPr="00E87403" w:rsidRDefault="00AA1356" w:rsidP="00E87403">
            <w:pPr>
              <w:spacing w:after="200" w:line="276" w:lineRule="auto"/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Трисамино-метан – 500 г</w:t>
            </w:r>
            <w:r w:rsidRPr="00E87403">
              <w:rPr>
                <w:rFonts w:ascii="Sylfaen" w:hAnsi="Sylfaen" w:cs="Arial"/>
                <w:sz w:val="20"/>
                <w:lang w:val="ru-RU"/>
              </w:rPr>
              <w:br/>
            </w:r>
            <w:r w:rsidRPr="00E87403">
              <w:rPr>
                <w:rFonts w:ascii="Sylfaen" w:hAnsi="Sylfaen"/>
                <w:sz w:val="20"/>
                <w:lang w:val="ru-RU"/>
              </w:rPr>
              <w:t>Белый порошок, NH2C(CH2OH)3 Молярная масса: 121,14g/mol</w:t>
            </w:r>
          </w:p>
          <w:p w14:paraId="2CD35BC7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GDF, натриевая соль гуанозин-5'-дифосфорной кислоты – 400 мг</w:t>
            </w:r>
          </w:p>
          <w:p w14:paraId="4374AB3F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Чистота 96%</w:t>
            </w:r>
          </w:p>
          <w:p w14:paraId="6DDA7470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CEF, натриевая соль цитидин-5'-тертифосфорной кислоты – 1 г</w:t>
            </w:r>
          </w:p>
          <w:p w14:paraId="70B1E3BF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Чистота 96%</w:t>
            </w:r>
          </w:p>
          <w:p w14:paraId="737B085A" w14:textId="487AE7FF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Метанол HPLC-5л</w:t>
            </w:r>
          </w:p>
          <w:p w14:paraId="51FC492C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Химическая формула: CH3OH Молекулярная масса: 32,04 г/моль.</w:t>
            </w:r>
          </w:p>
          <w:p w14:paraId="56900D27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Это прозрачная бесцветная жидкость со слегка сладковатым, резким спиртовым запахом.</w:t>
            </w:r>
          </w:p>
          <w:p w14:paraId="6F5567C8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Точка кипения: 64,7°C (148,5°F), точка плавления: -97,6°C (-143,7°F).</w:t>
            </w:r>
          </w:p>
          <w:p w14:paraId="3A7B62F6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Плотность: 0,7918 г/см³ (при 20°C). Полностью смешивается с водой и многими органическими растворителями, такими как этанол, ацетон и эфир.</w:t>
            </w:r>
          </w:p>
          <w:p w14:paraId="2A904239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ЦКФ-1 г</w:t>
            </w:r>
          </w:p>
          <w:p w14:paraId="7B4949CA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Белый порошок, молекулярная масса: 403,2 г/моль C 9 H 16 N 3 O 11 P 2 Na. 2Н 2 О:</w:t>
            </w:r>
          </w:p>
          <w:p w14:paraId="45A0B65B" w14:textId="7C62E56F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ЦТФ-1 кг</w:t>
            </w:r>
          </w:p>
          <w:p w14:paraId="41809128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Химическая формула: C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₂</w:t>
            </w:r>
            <w:r w:rsidRPr="00E87403">
              <w:rPr>
                <w:rFonts w:ascii="Sylfaen" w:hAnsi="Sylfaen"/>
                <w:sz w:val="20"/>
                <w:lang w:val="ru-RU"/>
              </w:rPr>
              <w:t>HCl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₃</w:t>
            </w:r>
            <w:r w:rsidRPr="00E87403">
              <w:rPr>
                <w:rFonts w:ascii="Sylfaen" w:hAnsi="Sylfaen"/>
                <w:sz w:val="20"/>
                <w:lang w:val="ru-RU"/>
              </w:rPr>
              <w:t>O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₂</w:t>
            </w:r>
            <w:r w:rsidRPr="00E87403">
              <w:rPr>
                <w:rFonts w:ascii="Sylfaen" w:hAnsi="Sylfaen"/>
                <w:sz w:val="20"/>
                <w:lang w:val="ru-RU"/>
              </w:rPr>
              <w:t>. Внешний вид: белые кристаллы или кристаллический порошок, температура плавления: 196-197°С, плотность: 1,49 г/см³, хорошо растворим.</w:t>
            </w:r>
          </w:p>
          <w:p w14:paraId="7C4D8C09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АКФ-2г</w:t>
            </w:r>
          </w:p>
          <w:p w14:paraId="460233AC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Чистота 96%</w:t>
            </w:r>
          </w:p>
          <w:p w14:paraId="5D8537CE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Бычий сывороточный альбумин – 10 г.</w:t>
            </w:r>
          </w:p>
          <w:p w14:paraId="4E885F08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Мономерный белок, состоящий из одной цепи аминокислот с молекулярной массой 66,5 кДа, БСА обычно используется в качестве добавки в биохимических средах и средах для культур тканей.</w:t>
            </w:r>
          </w:p>
          <w:p w14:paraId="401B8336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</w:p>
          <w:p w14:paraId="2DE77EF1" w14:textId="311CCEEE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Продукт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ы и оборудование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 xml:space="preserve"> долж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но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 xml:space="preserve"> быть новым, неиспользованным, упаковка должна быть неповрежденной и обеспеченной соответствующими условиями хранения на протяжении всей поставки. Перед поставкой необходимо согласовать с заказчиком.</w:t>
            </w:r>
          </w:p>
        </w:tc>
        <w:tc>
          <w:tcPr>
            <w:tcW w:w="709" w:type="dxa"/>
          </w:tcPr>
          <w:p w14:paraId="24FDA617" w14:textId="5897D7A8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lastRenderedPageBreak/>
              <w:t>шт</w:t>
            </w:r>
          </w:p>
        </w:tc>
        <w:tc>
          <w:tcPr>
            <w:tcW w:w="567" w:type="dxa"/>
          </w:tcPr>
          <w:p w14:paraId="12CE9F7F" w14:textId="5439263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1</w:t>
            </w:r>
          </w:p>
        </w:tc>
        <w:tc>
          <w:tcPr>
            <w:tcW w:w="1671" w:type="dxa"/>
          </w:tcPr>
          <w:p w14:paraId="1BC985A9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Алек Манукян 1/3</w:t>
            </w:r>
          </w:p>
        </w:tc>
        <w:tc>
          <w:tcPr>
            <w:tcW w:w="1890" w:type="dxa"/>
          </w:tcPr>
          <w:p w14:paraId="1D19528E" w14:textId="454113F4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В течение 6 месяцев после подписания контракта</w:t>
            </w:r>
          </w:p>
        </w:tc>
      </w:tr>
      <w:tr w:rsidR="00AA1356" w:rsidRPr="00816AAE" w14:paraId="7B384AA2" w14:textId="77777777" w:rsidTr="00AA1356">
        <w:trPr>
          <w:trHeight w:val="70"/>
        </w:trPr>
        <w:tc>
          <w:tcPr>
            <w:tcW w:w="851" w:type="dxa"/>
          </w:tcPr>
          <w:p w14:paraId="6DC0F8BA" w14:textId="77777777" w:rsidR="00AA1356" w:rsidRPr="00E87403" w:rsidRDefault="00AA1356" w:rsidP="00E87403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20"/>
                <w:lang w:val="ru-RU"/>
              </w:rPr>
            </w:pPr>
          </w:p>
        </w:tc>
        <w:tc>
          <w:tcPr>
            <w:tcW w:w="1270" w:type="dxa"/>
          </w:tcPr>
          <w:p w14:paraId="1EB1594B" w14:textId="77777777" w:rsidR="00AA1356" w:rsidRPr="00E87403" w:rsidRDefault="00AA1356" w:rsidP="00E87403">
            <w:pPr>
              <w:rPr>
                <w:rFonts w:ascii="Sylfaen" w:hAnsi="Sylfaen" w:cs="Calibri"/>
                <w:color w:val="37474F"/>
                <w:sz w:val="20"/>
                <w:lang w:eastAsia="en-US"/>
              </w:rPr>
            </w:pPr>
            <w:r w:rsidRPr="00D76412">
              <w:rPr>
                <w:rFonts w:ascii="Sylfaen" w:hAnsi="Sylfaen" w:cs="Calibri"/>
                <w:color w:val="37474F"/>
                <w:sz w:val="20"/>
                <w:lang w:val="ru-RU"/>
              </w:rPr>
              <w:br/>
            </w:r>
            <w:r w:rsidRPr="00E87403">
              <w:rPr>
                <w:rFonts w:ascii="Sylfaen" w:hAnsi="Sylfaen" w:cs="Calibri"/>
                <w:color w:val="37474F"/>
                <w:sz w:val="20"/>
              </w:rPr>
              <w:t>38591200/44</w:t>
            </w:r>
          </w:p>
          <w:p w14:paraId="1F12E4E5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</w:p>
        </w:tc>
        <w:tc>
          <w:tcPr>
            <w:tcW w:w="1371" w:type="dxa"/>
            <w:vAlign w:val="center"/>
          </w:tcPr>
          <w:p w14:paraId="32E3D945" w14:textId="42A5D3C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Центрифуга со своими роторами</w:t>
            </w:r>
          </w:p>
        </w:tc>
        <w:tc>
          <w:tcPr>
            <w:tcW w:w="6431" w:type="dxa"/>
            <w:vAlign w:val="center"/>
          </w:tcPr>
          <w:p w14:paraId="6EBA5D82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eastAsia="en-US"/>
              </w:rPr>
            </w:pPr>
            <w:r w:rsidRPr="00E87403">
              <w:rPr>
                <w:rFonts w:ascii="Sylfaen" w:eastAsiaTheme="minorHAnsi" w:hAnsi="Sylfaen" w:cstheme="minorBidi"/>
                <w:noProof/>
                <w:sz w:val="20"/>
                <w:lang w:eastAsia="en-US"/>
              </w:rPr>
              <w:drawing>
                <wp:inline distT="0" distB="0" distL="0" distR="0" wp14:anchorId="74E5B4C8" wp14:editId="2B555930">
                  <wp:extent cx="1224716" cy="1224716"/>
                  <wp:effectExtent l="0" t="0" r="0" b="0"/>
                  <wp:docPr id="2002175424" name="Picture 2002175424" descr="High-Speed Zentrifugen – Herm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igh-Speed Zentrifugen – Herm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1440" cy="1231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A22F12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/>
                <w:sz w:val="20"/>
                <w:lang w:val="hy-AM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Высокоскоростная лабораторная центрифуга с охлаждением, напряжением 230 В</w:t>
            </w:r>
            <w:r w:rsidRPr="00E87403">
              <w:rPr>
                <w:rFonts w:ascii="Sylfaen" w:eastAsiaTheme="minorHAnsi" w:hAnsi="Sylfaen" w:cstheme="minorBidi"/>
                <w:sz w:val="20"/>
                <w:lang w:val="hy-AM" w:eastAsia="en-US"/>
              </w:rPr>
              <w:t xml:space="preserve"> 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(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Hermle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,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Eppendorf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или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Thermo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Fisher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)</w:t>
            </w:r>
            <w:r w:rsidRPr="00E87403">
              <w:rPr>
                <w:rFonts w:ascii="Times New Roman" w:eastAsiaTheme="minorHAnsi" w:hAnsi="Times New Roman"/>
                <w:sz w:val="20"/>
                <w:lang w:val="hy-AM" w:eastAsia="en-US"/>
              </w:rPr>
              <w:t>․</w:t>
            </w:r>
            <w:r w:rsidRPr="00E87403">
              <w:rPr>
                <w:rFonts w:ascii="Sylfaen" w:eastAsiaTheme="minorHAnsi" w:hAnsi="Sylfaen"/>
                <w:sz w:val="20"/>
                <w:lang w:val="hy-AM" w:eastAsia="en-US"/>
              </w:rPr>
              <w:t xml:space="preserve"> 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Диапазон скоростей — не менее 200 и не более 16 000 об/мин.</w:t>
            </w:r>
          </w:p>
          <w:p w14:paraId="2EF4C6A4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Максимальное ускорение составляет 2</w:t>
            </w:r>
            <w:r w:rsidRPr="00E87403">
              <w:rPr>
                <w:rFonts w:ascii="Sylfaen" w:eastAsiaTheme="minorHAnsi" w:hAnsi="Sylfaen" w:cstheme="minorBidi"/>
                <w:sz w:val="20"/>
                <w:lang w:val="hy-AM" w:eastAsia="en-US"/>
              </w:rPr>
              <w:t>7000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g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, а максимальная вместимость — 4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x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750 мл. Диапазон температур: -20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C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-40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oC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. Размеры: 73 х 67 х 39 см. Вес: 111 кг, Электропитание: 230 В, 50-60 Гц.</w:t>
            </w:r>
          </w:p>
          <w:p w14:paraId="7F755A37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В комплект входят два ротора: Первый — угловой ротор 4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x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500 мл, максимальная скорость 8000 об/мин, до 11000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g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, угол 24±1 °, радиус 14,5 см, а второй — ротор 10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x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50 мл, максимальная скорость 10500 об/мин, до 16500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g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, радиус 13±1 см. , контейнер Максимальный диаметр: 29 мм. Гарантия составляет 1 год с момента поставки.</w:t>
            </w:r>
          </w:p>
          <w:p w14:paraId="6A12E8C2" w14:textId="5412EB9C" w:rsidR="00AA1356" w:rsidRPr="00E87403" w:rsidRDefault="00AA1356" w:rsidP="00E87403">
            <w:pPr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Монтаж осуществляется поставщиком заранее по согласованию с заказчиком. Изделие должно быть новым и неиспользованным, не содержать изношенных или поврежденных деталей. Имеется сертификат производителя. Необходимо иметь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ISO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9001:2015,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ISO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13485:2016-08,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ISO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14971:2013-04,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EN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61010-2-020:20174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IVD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98/79/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EC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.</w:t>
            </w:r>
          </w:p>
        </w:tc>
        <w:tc>
          <w:tcPr>
            <w:tcW w:w="709" w:type="dxa"/>
            <w:vAlign w:val="center"/>
          </w:tcPr>
          <w:p w14:paraId="72783942" w14:textId="044B5C16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Шт</w:t>
            </w:r>
            <w:r w:rsidRPr="00E87403">
              <w:rPr>
                <w:rFonts w:ascii="Times New Roman" w:eastAsiaTheme="minorHAnsi" w:hAnsi="Times New Roman"/>
                <w:sz w:val="20"/>
                <w:lang w:val="hy-AM" w:eastAsia="en-US"/>
              </w:rPr>
              <w:t>․</w:t>
            </w:r>
          </w:p>
        </w:tc>
        <w:tc>
          <w:tcPr>
            <w:tcW w:w="567" w:type="dxa"/>
            <w:vAlign w:val="center"/>
          </w:tcPr>
          <w:p w14:paraId="3FD53691" w14:textId="44B109A2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1</w:t>
            </w:r>
          </w:p>
        </w:tc>
        <w:tc>
          <w:tcPr>
            <w:tcW w:w="1671" w:type="dxa"/>
          </w:tcPr>
          <w:p w14:paraId="719B222E" w14:textId="02D257FE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Алек Манукян 1/3</w:t>
            </w:r>
          </w:p>
        </w:tc>
        <w:tc>
          <w:tcPr>
            <w:tcW w:w="1890" w:type="dxa"/>
          </w:tcPr>
          <w:p w14:paraId="677B2B48" w14:textId="3D294E38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В течение 6 месяцев после подписания контракта</w:t>
            </w:r>
          </w:p>
        </w:tc>
      </w:tr>
      <w:tr w:rsidR="00AA1356" w:rsidRPr="00816AAE" w14:paraId="40DEC49B" w14:textId="77777777" w:rsidTr="00AA1356">
        <w:trPr>
          <w:trHeight w:val="70"/>
        </w:trPr>
        <w:tc>
          <w:tcPr>
            <w:tcW w:w="851" w:type="dxa"/>
          </w:tcPr>
          <w:p w14:paraId="2D94060D" w14:textId="77777777" w:rsidR="00AA1356" w:rsidRPr="00E87403" w:rsidRDefault="00AA1356" w:rsidP="00E87403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20"/>
                <w:lang w:val="ru-RU"/>
              </w:rPr>
            </w:pPr>
          </w:p>
        </w:tc>
        <w:tc>
          <w:tcPr>
            <w:tcW w:w="1270" w:type="dxa"/>
          </w:tcPr>
          <w:p w14:paraId="22B8DF11" w14:textId="14BB5622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 w:cs="Calibri"/>
                <w:color w:val="37474F"/>
                <w:sz w:val="20"/>
                <w:shd w:val="clear" w:color="auto" w:fill="FFFFFF"/>
              </w:rPr>
              <w:t>38591200/45</w:t>
            </w:r>
          </w:p>
        </w:tc>
        <w:tc>
          <w:tcPr>
            <w:tcW w:w="1371" w:type="dxa"/>
            <w:vAlign w:val="center"/>
          </w:tcPr>
          <w:p w14:paraId="29524773" w14:textId="63001334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Многофункциональный микропланшетный спектрофотометр с комплектом и принадлежностями</w:t>
            </w:r>
          </w:p>
        </w:tc>
        <w:tc>
          <w:tcPr>
            <w:tcW w:w="6431" w:type="dxa"/>
            <w:vAlign w:val="center"/>
          </w:tcPr>
          <w:p w14:paraId="779EB68A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В коллекцию входят:</w:t>
            </w:r>
          </w:p>
          <w:p w14:paraId="1ECDB3D6" w14:textId="77777777" w:rsidR="00AA1356" w:rsidRPr="00E87403" w:rsidRDefault="00AA1356" w:rsidP="00E8740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Многофункциональный микропланшетный спектрофотометр, включающий одно предметное стекло с экстинкционным фильтром «xA», одно предметное стекло с эмиссионным фильтром «mA», содержащее фильтры 450 нм и 485 нм, одно предметное стекло с фильтром 535 нм и 15 мм черную переходную рамку, одна красная рамка диаметром 20 мм, один микропланшет для визуализации и промывки, а также 3 дополнительных инжектора, программное обеспечение Compass®.</w:t>
            </w:r>
          </w:p>
          <w:p w14:paraId="5478DB34" w14:textId="77777777" w:rsidR="00AA1356" w:rsidRPr="00E87403" w:rsidRDefault="00AA1356" w:rsidP="00E8740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80 шт. белых микропланшета с непрозрачным дном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․</w:t>
            </w:r>
          </w:p>
          <w:p w14:paraId="3B7E3827" w14:textId="77777777" w:rsidR="00AA1356" w:rsidRPr="00E87403" w:rsidRDefault="00AA1356" w:rsidP="00E8740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40 шт. белых микропланшета с прозрачным дном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․</w:t>
            </w:r>
          </w:p>
          <w:p w14:paraId="743CF6F9" w14:textId="77777777" w:rsidR="00AA1356" w:rsidRPr="00E87403" w:rsidRDefault="00AA1356" w:rsidP="00E8740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80 шт. черные микропланшета с непрозрачным дном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․</w:t>
            </w:r>
          </w:p>
          <w:p w14:paraId="61DBA13F" w14:textId="77777777" w:rsidR="00AA1356" w:rsidRPr="00E87403" w:rsidRDefault="00AA1356" w:rsidP="00E8740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80 шт. черные микропланшета с прозрачным дном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․</w:t>
            </w:r>
          </w:p>
          <w:p w14:paraId="41C5D237" w14:textId="77777777" w:rsidR="00AA1356" w:rsidRPr="00E87403" w:rsidRDefault="00AA1356" w:rsidP="00E87403">
            <w:pPr>
              <w:spacing w:line="256" w:lineRule="auto"/>
              <w:rPr>
                <w:rFonts w:ascii="Sylfaen" w:hAnsi="Sylfaen" w:cs="Sylfaen"/>
                <w:b/>
                <w:sz w:val="20"/>
                <w:lang w:val="hy-AM"/>
              </w:rPr>
            </w:pPr>
          </w:p>
          <w:p w14:paraId="5D1E6A23" w14:textId="77777777" w:rsidR="00AA1356" w:rsidRPr="00E87403" w:rsidRDefault="00AA1356" w:rsidP="00E87403">
            <w:pPr>
              <w:pStyle w:val="NormalWeb"/>
              <w:spacing w:before="0" w:beforeAutospacing="0" w:after="0" w:afterAutospacing="0" w:line="256" w:lineRule="auto"/>
              <w:rPr>
                <w:rFonts w:ascii="Sylfaen" w:hAnsi="Sylfaen" w:cs="Sylfaen"/>
                <w:sz w:val="20"/>
                <w:szCs w:val="20"/>
                <w:lang w:val="hy-AM" w:eastAsia="ru-RU"/>
              </w:rPr>
            </w:pPr>
            <w:r w:rsidRPr="00E87403">
              <w:rPr>
                <w:rFonts w:ascii="Sylfaen" w:hAnsi="Sylfaen" w:cs="Sylfaen"/>
                <w:b/>
                <w:sz w:val="20"/>
                <w:szCs w:val="20"/>
                <w:lang w:val="hy-AM" w:eastAsia="ru-RU"/>
              </w:rPr>
              <w:lastRenderedPageBreak/>
              <w:t>Многофункциональный микропланшетный спектрофотометр</w:t>
            </w:r>
            <w:r w:rsidRPr="00E87403">
              <w:rPr>
                <w:rFonts w:ascii="Sylfaen" w:hAnsi="Sylfaen" w:cs="Sylfaen"/>
                <w:sz w:val="20"/>
                <w:szCs w:val="20"/>
                <w:lang w:val="hy-AM" w:eastAsia="ru-RU"/>
              </w:rPr>
              <w:t xml:space="preserve"> должен быть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 xml:space="preserve">BERTHOLD Tristar 3, Molecular Devices SpectraMax iD5 </w:t>
            </w:r>
            <w:r w:rsidRPr="00E87403">
              <w:rPr>
                <w:rFonts w:ascii="Sylfaen" w:hAnsi="Sylfaen" w:cs="Sylfaen"/>
                <w:sz w:val="20"/>
                <w:szCs w:val="20"/>
                <w:lang w:val="hy-AM" w:eastAsia="ru-RU"/>
              </w:rPr>
              <w:t xml:space="preserve">или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Tecan Infinite Pro 200</w:t>
            </w:r>
            <w:r w:rsidRPr="00E87403">
              <w:rPr>
                <w:rFonts w:ascii="Sylfaen" w:hAnsi="Sylfaen" w:cs="Sylfaen"/>
                <w:sz w:val="20"/>
                <w:szCs w:val="20"/>
                <w:lang w:val="hy-AM" w:eastAsia="ru-RU"/>
              </w:rPr>
              <w:t>.</w:t>
            </w:r>
            <w:r w:rsidR="00816AAE">
              <w:rPr>
                <w:rFonts w:ascii="Sylfaen" w:hAnsi="Sylfaen"/>
                <w:noProof/>
                <w:sz w:val="20"/>
                <w:szCs w:val="20"/>
              </w:rPr>
              <w:pict w14:anchorId="14EDADC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i1025" type="#_x0000_t75" style="width:138.75pt;height:154.5pt;visibility:visible;mso-wrap-style:square">
                  <v:imagedata r:id="rId17" o:title="Untitled"/>
                </v:shape>
              </w:pict>
            </w:r>
          </w:p>
          <w:p w14:paraId="72DA989A" w14:textId="77777777" w:rsidR="00AA1356" w:rsidRPr="00E87403" w:rsidRDefault="00AA1356" w:rsidP="00E87403">
            <w:pPr>
              <w:pStyle w:val="NormalWeb"/>
              <w:spacing w:before="0" w:beforeAutospacing="0" w:after="0" w:afterAutospacing="0" w:line="256" w:lineRule="auto"/>
              <w:rPr>
                <w:rFonts w:ascii="Sylfaen" w:hAnsi="Sylfaen" w:cs="Sylfaen"/>
                <w:sz w:val="20"/>
                <w:szCs w:val="20"/>
                <w:lang w:val="hy-AM"/>
              </w:rPr>
            </w:pP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>Оборудование должно быть оснащено оптикой ONE4ALL, благодаря которой система должна выполнять высокоточные измерения поглощения, люминесценции и флуоресценции. Поглощение должно быть типа UV/VIS. Оптика ONE-4-ALL должна работать как с фильтрами, так и с монохроматорами. фильтры должны быть заменяемыми. Должны быть доступны сменные фильтрующие пластины для максимум 40 различных фильтров. Фильтры должны иметь высокий коэффициент пропускания, что делает их доступными для флуорофорного анализа широкого спектра и всех методов анализа на основе люминесценции, таких как BRET, BRET2 и NanoBRET™</w:t>
            </w:r>
            <w:r w:rsidRPr="00E87403">
              <w:rPr>
                <w:sz w:val="20"/>
                <w:szCs w:val="20"/>
                <w:lang w:val="hy-AM"/>
              </w:rPr>
              <w:t>․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Оборудование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должно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быть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оснащено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системой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коррекции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погрешности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,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вызванной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явлением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перекр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>естного давления до 10</w:t>
            </w:r>
            <w:r w:rsidRPr="00E87403">
              <w:rPr>
                <w:rFonts w:ascii="Sylfaen" w:hAnsi="Sylfaen"/>
                <w:sz w:val="20"/>
                <w:szCs w:val="20"/>
                <w:vertAlign w:val="superscript"/>
                <w:lang w:val="hy-AM"/>
              </w:rPr>
              <w:t>6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>.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 xml:space="preserve"> В основном отсеке аппарат должен быть оборудован станцией для флаконов с реагентами, где также должна быть станция для создания водяной бани или ледяной бани, благодаря которым реагенты будут поддерживать постоянную температуру. К оборудованию можно подключить до 3-х высокоскоростных форсунок переменного объема типа JET, точность которых превышает 98%. Работа должна позволить провести более 3 миллионов инъекций без механических повреждений и с мгновенным измерением люминесценции. Объем инъекции должен составлять 10–100 мкл с шагом 1 мкл, скорость введения 200–440 мкл/с. Для оптимальной производительности оборудование должно позволять изучать мгновенные кинетические кривые, начиная с первых 150 мс кинетического анализа (например, анализы Fura-2 или акридиниевого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lastRenderedPageBreak/>
              <w:t>эфира в упаковке). Программное обеспечение также должно иметь инструменты для создания и изучения кривых и спектров поглощения, флуоресценции или флуоресценции, должно быть доступно в 3 версиях: Basic, Plus и Professional.</w:t>
            </w:r>
          </w:p>
          <w:p w14:paraId="471D4E9F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 w:eastAsia="en-US"/>
              </w:rPr>
              <w:t>Оборудование должно быть оснащено следующими типами детекторов:</w:t>
            </w:r>
          </w:p>
          <w:p w14:paraId="4A5DFB35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3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фотоумножитель, способный работать в режиме счета одиночных фотонов и режиме определения высоты импульса,</w:t>
            </w:r>
          </w:p>
          <w:p w14:paraId="127B0B1B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3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Фотодиод для определения оптической плотности</w:t>
            </w:r>
          </w:p>
          <w:p w14:paraId="1565BF09" w14:textId="77777777" w:rsidR="00AA1356" w:rsidRPr="00E87403" w:rsidRDefault="00AA1356" w:rsidP="00E87403">
            <w:pPr>
              <w:pStyle w:val="ListParagraph"/>
              <w:widowControl w:val="0"/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</w:p>
          <w:p w14:paraId="7B5E86E5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Оборудование должно иметь следующие режимы измерения:</w:t>
            </w:r>
          </w:p>
          <w:p w14:paraId="7469FC18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UV/Vis Поглощение,</w:t>
            </w:r>
          </w:p>
          <w:p w14:paraId="20F91D21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Люминесценция,</w:t>
            </w:r>
          </w:p>
          <w:p w14:paraId="0FDF50EF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BRET (биолюминесцентный резонансный перенос энергии)/BRET2 и NanoBRET</w:t>
            </w:r>
            <w:r w:rsidRPr="00E87403">
              <w:rPr>
                <w:rFonts w:ascii="Sylfaen" w:hAnsi="Sylfaen" w:cs="Sylfaen"/>
                <w:sz w:val="20"/>
                <w:vertAlign w:val="superscript"/>
                <w:lang w:val="hy-AM"/>
              </w:rPr>
              <w:t>TM</w:t>
            </w:r>
          </w:p>
          <w:p w14:paraId="0530A16B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FRET</w:t>
            </w:r>
          </w:p>
          <w:p w14:paraId="35AD2903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флуоресценция UV/Vis и с временным разрешением,</w:t>
            </w:r>
          </w:p>
          <w:p w14:paraId="4F0B3932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Резонансная передача Люминесцентной энергии,</w:t>
            </w:r>
          </w:p>
          <w:p w14:paraId="7C9E1C96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Режимы измерения должны быть: </w:t>
            </w:r>
          </w:p>
          <w:p w14:paraId="58BB9622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Конечная точка,</w:t>
            </w:r>
          </w:p>
          <w:p w14:paraId="2F7B8911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Кинетика (возможны длительные (до 7 дней и более) кинетические измерения),</w:t>
            </w:r>
          </w:p>
          <w:p w14:paraId="31462E8A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Повторяющееся спектральное сканирование,</w:t>
            </w:r>
          </w:p>
          <w:p w14:paraId="6C74240B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Сканирование площади (до 10 х 10 единиц на отверстие).</w:t>
            </w:r>
          </w:p>
          <w:p w14:paraId="3E97B7E0" w14:textId="77777777" w:rsidR="00AA1356" w:rsidRPr="00E87403" w:rsidRDefault="00AA1356" w:rsidP="00E87403">
            <w:pPr>
              <w:pStyle w:val="ListParagraph"/>
              <w:widowControl w:val="0"/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</w:p>
          <w:p w14:paraId="5D75EC35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Оптические системы։</w:t>
            </w:r>
          </w:p>
          <w:p w14:paraId="0FF3934F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6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ONE-4-ALL</w:t>
            </w:r>
          </w:p>
          <w:p w14:paraId="0E670050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6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Z-</w:t>
            </w:r>
            <w:r w:rsidRPr="00E87403">
              <w:rPr>
                <w:rFonts w:ascii="Sylfaen" w:hAnsi="Sylfaen"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независимая оптика</w:t>
            </w:r>
          </w:p>
          <w:p w14:paraId="2083C2E6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6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17x5 экстинкцонние</w:t>
            </w:r>
            <w:r w:rsidRPr="00E87403">
              <w:rPr>
                <w:rFonts w:ascii="Sylfaen" w:hAnsi="Sylfaen" w:cs="Sylfaen"/>
                <w:sz w:val="20"/>
                <w:lang w:val="ru-RU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и</w:t>
            </w:r>
            <w:r w:rsidRPr="00E87403">
              <w:rPr>
                <w:rFonts w:ascii="Sylfaen" w:hAnsi="Sylfaen" w:cs="Sylfaen"/>
                <w:sz w:val="20"/>
                <w:lang w:val="ru-RU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эмисионние</w:t>
            </w:r>
            <w:r w:rsidRPr="00E87403">
              <w:rPr>
                <w:rFonts w:ascii="Sylfaen" w:hAnsi="Sylfaen" w:cs="Sylfaen"/>
                <w:sz w:val="20"/>
                <w:lang w:val="ru-RU"/>
              </w:rPr>
              <w:t xml:space="preserve"> фильтры,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включая:</w:t>
            </w:r>
          </w:p>
          <w:p w14:paraId="79D8B01E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41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Гасящие фильтры, откалиброванные для пропускания,</w:t>
            </w:r>
          </w:p>
          <w:p w14:paraId="08E96271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41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качественные фильтры для BRET и BRET2,</w:t>
            </w:r>
          </w:p>
          <w:p w14:paraId="7C72401F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41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комплект специальных высокоэффективных фильтров для БРЭТ,</w:t>
            </w:r>
          </w:p>
          <w:p w14:paraId="4612D282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41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комплект специальных высокоэффективных фильтров для БРЭТ 2,</w:t>
            </w:r>
          </w:p>
          <w:p w14:paraId="5B2298C5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41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комплект специальных высокоэффективных фильтров для NanoBRETTM,</w:t>
            </w:r>
          </w:p>
          <w:p w14:paraId="594BABB6" w14:textId="77777777" w:rsidR="00AA1356" w:rsidRPr="00E87403" w:rsidRDefault="00AA1356" w:rsidP="00E87403">
            <w:pPr>
              <w:widowControl w:val="0"/>
              <w:numPr>
                <w:ilvl w:val="0"/>
                <w:numId w:val="41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Легкодоступные направляющие фильтра спереди.</w:t>
            </w:r>
          </w:p>
          <w:p w14:paraId="47073F68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</w:p>
          <w:p w14:paraId="7C184DE5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Ввод реагентов:</w:t>
            </w:r>
          </w:p>
          <w:p w14:paraId="4B715795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3 системы впрыска JET, работающие в следующих режимах:</w:t>
            </w:r>
          </w:p>
          <w:p w14:paraId="5639BFAD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скорость введения 200–440 мкл/с,</w:t>
            </w:r>
          </w:p>
          <w:p w14:paraId="007B33CE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шаг введения 1 мкл,</w:t>
            </w:r>
          </w:p>
          <w:p w14:paraId="117F2527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быстрое и эффективное перемешивание,</w:t>
            </w:r>
          </w:p>
          <w:p w14:paraId="55C10F4D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без прямого контакта с содержимым микротаблетки,</w:t>
            </w:r>
          </w:p>
          <w:p w14:paraId="6A74E2E9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применим для инъекции клеточных культур,</w:t>
            </w:r>
          </w:p>
          <w:p w14:paraId="2131F663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детали, контактирующие с реагентами, только из качества тефлона, производного тефлона и полипропилена,</w:t>
            </w:r>
          </w:p>
          <w:p w14:paraId="14C60377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Точность 98% (во всем объёмном диапазоне),</w:t>
            </w:r>
          </w:p>
          <w:p w14:paraId="0B7FBB5C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малый объем ядра (работает от &lt;1 мл, полное и однородное заполнение),</w:t>
            </w:r>
          </w:p>
          <w:p w14:paraId="3E4364B4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управляемость программой,</w:t>
            </w:r>
          </w:p>
          <w:p w14:paraId="3A7B34A4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возможность инжекции в режиме измерения оборудования (например, в случае быстрой кинетики),</w:t>
            </w:r>
          </w:p>
          <w:p w14:paraId="239F5CF5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доступ спереди,</w:t>
            </w:r>
          </w:p>
          <w:p w14:paraId="33BDF3A1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возможность замораживания реагентов,</w:t>
            </w:r>
          </w:p>
          <w:p w14:paraId="19382C0D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контейнеры с реагентами и объемы реагентов видны во время измерения,</w:t>
            </w:r>
          </w:p>
          <w:p w14:paraId="1AFEA9EB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При использовании 384-канальных микропланшетов бесперебойная работа 3-х инжекторов без предварительной механической регулировки,</w:t>
            </w:r>
          </w:p>
          <w:p w14:paraId="36C962E1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зона хранения реагентов оборудована светозащитным кожухом для светочувствительных реагентов,</w:t>
            </w:r>
          </w:p>
          <w:p w14:paraId="66E328A7" w14:textId="77777777" w:rsidR="00AA1356" w:rsidRPr="00E87403" w:rsidRDefault="00AA1356" w:rsidP="00E87403">
            <w:pPr>
              <w:numPr>
                <w:ilvl w:val="0"/>
                <w:numId w:val="38"/>
              </w:numPr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держатели с магнитной силой для небольших количеств реагентов (дополнительно),</w:t>
            </w:r>
          </w:p>
          <w:p w14:paraId="339B837B" w14:textId="77777777" w:rsidR="00AA1356" w:rsidRPr="00E87403" w:rsidRDefault="00AA1356" w:rsidP="00E87403">
            <w:pPr>
              <w:spacing w:line="256" w:lineRule="auto"/>
              <w:ind w:left="360"/>
              <w:rPr>
                <w:rFonts w:ascii="Sylfaen" w:hAnsi="Sylfaen" w:cs="Sylfaen"/>
                <w:sz w:val="20"/>
                <w:lang w:val="hy-AM"/>
              </w:rPr>
            </w:pPr>
          </w:p>
          <w:p w14:paraId="700FE657" w14:textId="77777777" w:rsidR="00AA1356" w:rsidRPr="00E87403" w:rsidRDefault="00AA1356" w:rsidP="00E87403">
            <w:pPr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Источник света: ксеноновая проблесковая лампа 10 В.</w:t>
            </w:r>
          </w:p>
          <w:p w14:paraId="2D047D96" w14:textId="77777777" w:rsidR="00AA1356" w:rsidRPr="00E87403" w:rsidRDefault="00AA1356" w:rsidP="00E87403">
            <w:pPr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Диапазон поглощения: 200-1000 нм (фотодиод).</w:t>
            </w:r>
          </w:p>
          <w:p w14:paraId="20529F36" w14:textId="77777777" w:rsidR="00AA1356" w:rsidRPr="00E87403" w:rsidRDefault="00AA1356" w:rsidP="00E87403">
            <w:pPr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Спектральный диапазон флуоресценции: Стандарт: 280–650 нм (малошумящий фотоумножитель в двойном режиме), модели FL: 280–850 нм,</w:t>
            </w:r>
          </w:p>
          <w:p w14:paraId="1CB2AB8B" w14:textId="77777777" w:rsidR="00AA1356" w:rsidRPr="00E87403" w:rsidRDefault="00AA1356" w:rsidP="00E87403">
            <w:pPr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Спектральный диапазон флуоресценции: гашение: 200-1000 нм, эмиссия: 280-650 нм, модели FL: 280-850 нм.</w:t>
            </w:r>
          </w:p>
          <w:p w14:paraId="0D6BAD92" w14:textId="77777777" w:rsidR="00AA1356" w:rsidRPr="00E87403" w:rsidRDefault="00AA1356" w:rsidP="00E87403">
            <w:pPr>
              <w:spacing w:line="256" w:lineRule="auto"/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Фильтры можно быстро и легко заменить при напряжении всего 160 мВ и обеспечить квазипараллельные относительные показания.</w:t>
            </w:r>
          </w:p>
          <w:p w14:paraId="76EE64BF" w14:textId="77777777" w:rsidR="00AA1356" w:rsidRPr="00E87403" w:rsidRDefault="00AA1356" w:rsidP="00E87403">
            <w:pPr>
              <w:spacing w:line="256" w:lineRule="auto"/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lastRenderedPageBreak/>
              <w:t xml:space="preserve">Форматы микропланшетов: 1-384-луночные, микропланшеты Тераски, чашки Петри (35 и 60 нм), кюветы, высота 3-х разных рамок в зависимости от типа; дополнительные форматы образцов (аксессуары): µDrop, адаптеры для кювет, адаптеры для чашек Петри, адаптеры для микропланшетов тераски. Вибрация: линейная, орбитальная, двойная орбитальная, с возможностью выбора скорости и диаметра. Скорость встряхивания 420-1020 об/мин. Температурный режим от +5° до 45°С должен предусматривать дополнительные системы охлаждения фотоумножителя. Возможность подключения газа (за дополнительную плату). Диапазон потенциальной ошибки поглощения: 0,6 %, Чувствительность люминесценции: &lt;6 амоль (0,03 пМ) </w:t>
            </w:r>
            <w:r w:rsidRPr="00E87403">
              <w:rPr>
                <w:rFonts w:ascii="Sylfaen" w:hAnsi="Sylfaen" w:cs="Sylfaen"/>
                <w:sz w:val="20"/>
              </w:rPr>
              <w:t>ATP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/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лунку (в 96-луночных микропланшетах), Чувствительность флуоресценции: &lt;7 амоль флуоресцеина/лунку (384-луночный микропланшет). Динамический диапазон измерения: более 6 порядков, 0-3,5 ОХ.</w:t>
            </w:r>
          </w:p>
          <w:p w14:paraId="329BE1C2" w14:textId="77777777" w:rsidR="00AA1356" w:rsidRPr="00E87403" w:rsidRDefault="00AA1356" w:rsidP="00E87403">
            <w:pPr>
              <w:spacing w:line="256" w:lineRule="auto"/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Компьютерное программное обеспечение: операционная система Windows 10 с подключением через USB, пакет программного обеспечения LightCompass® для измерения и анализа данных. Нормы: CE, NRTL, Источник питания: 110–240 В переменного тока ± 10 %, 50/60 Гц, класс I, Мощность: 24 В постоянного тока ± 5 %, Температура окружающей среды: 0–40 °C для хранения, 15–35 °C для эксплуатации, Влажность: 10–80 % без конденсации, максимальная температура 31 °C, влажность выше 80 %, уровень моря. высота: максимум 2000 м, размеры: 391 х 470 х 344 мм, вес: 20 кг.</w:t>
            </w:r>
          </w:p>
          <w:p w14:paraId="21309862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Производительность:</w:t>
            </w:r>
          </w:p>
          <w:p w14:paraId="6052B753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1. Поглощение:՝</w:t>
            </w:r>
          </w:p>
          <w:p w14:paraId="604FCF2E" w14:textId="77777777" w:rsidR="00AA1356" w:rsidRPr="00E87403" w:rsidRDefault="00AA1356" w:rsidP="00E87403">
            <w:pPr>
              <w:pStyle w:val="ListParagraph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0-3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  <w:r w:rsidRPr="00E87403">
              <w:rPr>
                <w:rFonts w:ascii="Sylfaen" w:hAnsi="Sylfaen"/>
                <w:sz w:val="20"/>
                <w:lang w:val="hy-AM"/>
              </w:rPr>
              <w:t>5 OD</w:t>
            </w:r>
          </w:p>
          <w:p w14:paraId="70CC045B" w14:textId="77777777" w:rsidR="00AA1356" w:rsidRPr="00E87403" w:rsidRDefault="00AA1356" w:rsidP="00E87403">
            <w:pPr>
              <w:pStyle w:val="ListParagraph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Точность: &gt;98%</w:t>
            </w:r>
          </w:p>
          <w:p w14:paraId="5DCFFF6F" w14:textId="77777777" w:rsidR="00AA1356" w:rsidRPr="00E87403" w:rsidRDefault="00AA1356" w:rsidP="00E87403">
            <w:pPr>
              <w:pStyle w:val="ListParagraph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Ошибка: &lt;0,6%</w:t>
            </w:r>
          </w:p>
          <w:p w14:paraId="0F872037" w14:textId="77777777" w:rsidR="00AA1356" w:rsidRPr="00E87403" w:rsidRDefault="00AA1356" w:rsidP="00E87403">
            <w:pPr>
              <w:pStyle w:val="ListParagraph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200-1000 нм</w:t>
            </w:r>
          </w:p>
          <w:p w14:paraId="4DEB9E1E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</w:p>
          <w:p w14:paraId="631DD151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2. Флуоресценция &lt;7 амоль/лунка FITC (384sv)</w:t>
            </w:r>
          </w:p>
          <w:p w14:paraId="09F40A43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3. Люминесценция &lt;6 амоль/лунка FITC (384sv)</w:t>
            </w:r>
          </w:p>
          <w:p w14:paraId="723A6D26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</w:p>
          <w:p w14:paraId="467A4F94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4. Программное обеспечение:</w:t>
            </w:r>
          </w:p>
          <w:p w14:paraId="5D4BB582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Программное обеспечение LightCompass® предназначено для анализа данных. Аналитический модуль программы обеспечивает:</w:t>
            </w:r>
          </w:p>
          <w:p w14:paraId="3C7F26C6" w14:textId="77777777" w:rsidR="00AA1356" w:rsidRPr="00E87403" w:rsidRDefault="00AA1356" w:rsidP="00E87403">
            <w:pPr>
              <w:pStyle w:val="ListParagraph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Построение графиков на месте.</w:t>
            </w:r>
          </w:p>
          <w:p w14:paraId="74FF5F01" w14:textId="77777777" w:rsidR="00AA1356" w:rsidRPr="00E87403" w:rsidRDefault="00AA1356" w:rsidP="00E87403">
            <w:pPr>
              <w:pStyle w:val="ListParagraph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экспорт данных (XLS, TXT, PDF)</w:t>
            </w:r>
          </w:p>
          <w:p w14:paraId="03ECAAD8" w14:textId="77777777" w:rsidR="00AA1356" w:rsidRPr="00E87403" w:rsidRDefault="00AA1356" w:rsidP="00E87403">
            <w:pPr>
              <w:pStyle w:val="ListParagraph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lastRenderedPageBreak/>
              <w:t>Определение соотношения</w:t>
            </w:r>
          </w:p>
          <w:p w14:paraId="2962CF27" w14:textId="77777777" w:rsidR="00AA1356" w:rsidRPr="00E87403" w:rsidRDefault="00AA1356" w:rsidP="00E87403">
            <w:pPr>
              <w:pStyle w:val="ListParagraph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Работа с кривыми</w:t>
            </w:r>
          </w:p>
          <w:p w14:paraId="4EB1C4DD" w14:textId="77777777" w:rsidR="00AA1356" w:rsidRPr="00E87403" w:rsidRDefault="00AA1356" w:rsidP="00E87403">
            <w:pPr>
              <w:pStyle w:val="ListParagraph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кинетика и повторяемость</w:t>
            </w:r>
          </w:p>
          <w:p w14:paraId="14DA26E2" w14:textId="77777777" w:rsidR="00AA1356" w:rsidRPr="00E87403" w:rsidRDefault="00AA1356" w:rsidP="00E87403">
            <w:pPr>
              <w:pStyle w:val="ListParagraph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Соотношение и вычитание</w:t>
            </w:r>
          </w:p>
          <w:p w14:paraId="1012625A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Оборудование должно соответствовать стандартам ISO9001:2015 и ISO 14001:2015.</w:t>
            </w:r>
          </w:p>
          <w:p w14:paraId="2C53DDA7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</w:p>
          <w:p w14:paraId="286B2A09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b/>
                <w:sz w:val="20"/>
              </w:rPr>
            </w:pPr>
            <w:r w:rsidRPr="00E87403">
              <w:rPr>
                <w:rFonts w:ascii="Sylfaen" w:hAnsi="Sylfaen"/>
                <w:b/>
                <w:sz w:val="20"/>
              </w:rPr>
              <w:t>Белые микропланшеты с непрозрачным дном</w:t>
            </w:r>
          </w:p>
          <w:p w14:paraId="323850FF" w14:textId="77777777" w:rsidR="00AA1356" w:rsidRPr="00E87403" w:rsidRDefault="00816AAE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</w:rPr>
            </w:pPr>
            <w:r>
              <w:rPr>
                <w:rFonts w:ascii="Sylfaen" w:hAnsi="Sylfaen"/>
                <w:noProof/>
                <w:sz w:val="20"/>
              </w:rPr>
              <w:pict w14:anchorId="7D2F5BE3">
                <v:shape id="Picture 2" o:spid="_x0000_i1026" type="#_x0000_t75" alt="353296 | Falcon® 96-well White Flat Bottom TC-treated Microtest Assay  Microplate, with Lid, Sterile, 5/Pack, 50/Case | Corning" style="width:87pt;height:65.25pt;visibility:visible;mso-wrap-style:square">
                  <v:imagedata r:id="rId18" o:title="Case | Corning"/>
                </v:shape>
              </w:pict>
            </w:r>
          </w:p>
          <w:p w14:paraId="3588032E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Corning Life Sciences, VWR</w:t>
            </w:r>
            <w:r w:rsidRPr="00E87403">
              <w:rPr>
                <w:rFonts w:ascii="Sylfaen" w:hAnsi="Sylfaen" w:cs="Sylfaen"/>
                <w:sz w:val="20"/>
              </w:rPr>
              <w:t xml:space="preserve">,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Thermo Fisher Scientific или </w:t>
            </w:r>
            <w:r w:rsidRPr="00E87403">
              <w:rPr>
                <w:rFonts w:ascii="Sylfaen" w:hAnsi="Sylfaen" w:cs="Sylfaen"/>
                <w:bCs/>
                <w:sz w:val="20"/>
                <w:lang w:val="hy-AM"/>
              </w:rPr>
              <w:t xml:space="preserve">Greiner Bio-One </w:t>
            </w:r>
          </w:p>
          <w:p w14:paraId="3DEECC8F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Предназначен для измерений флуоресценции 200–900 нм и </w:t>
            </w:r>
            <w:r w:rsidRPr="00E87403">
              <w:rPr>
                <w:rFonts w:ascii="Sylfaen" w:hAnsi="Sylfaen"/>
                <w:sz w:val="20"/>
              </w:rPr>
              <w:t>BRET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. Изготовлен из 96 отверстий, полистирол, двойное дно, белый, </w:t>
            </w:r>
            <w:r w:rsidRPr="00E87403">
              <w:rPr>
                <w:rFonts w:ascii="Sylfaen" w:hAnsi="Sylfaen"/>
                <w:sz w:val="20"/>
              </w:rPr>
              <w:t>CELLSTAR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® </w:t>
            </w:r>
            <w:r w:rsidRPr="00E87403">
              <w:rPr>
                <w:rFonts w:ascii="Sylfaen" w:hAnsi="Sylfaen"/>
                <w:sz w:val="20"/>
              </w:rPr>
              <w:t>TC</w:t>
            </w:r>
            <w:r w:rsidRPr="00E87403">
              <w:rPr>
                <w:rFonts w:ascii="Sylfaen" w:hAnsi="Sylfaen"/>
                <w:sz w:val="20"/>
                <w:lang w:val="ru-RU"/>
              </w:rPr>
              <w:t>. Они стерильны. не содержат ДНКазы, РНКазы, ДНК человека, апирогенны и нецитотоксичны. Совместим с многофункциональным микропланшетным спектрофотометром.</w:t>
            </w:r>
          </w:p>
          <w:p w14:paraId="0D2A636B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с. Отверстия имеют буквенно-цифровую кодировку. Пол без покрытия, белый, твердый. Микропланшеты доступны для оборудования, требующего расположения микропланшетов рядом друг с другом. Профиль отверстий с плоскими/разделенными отверстиями. Площадь одной лунки: 34 мм², рабочий объём на лунку: 25-340 мкл. Соответствует Американскому национальному институту стандартов (</w:t>
            </w:r>
            <w:r w:rsidRPr="00E87403">
              <w:rPr>
                <w:rFonts w:ascii="Sylfaen" w:hAnsi="Sylfaen"/>
                <w:sz w:val="20"/>
              </w:rPr>
              <w:t>ANSI</w:t>
            </w:r>
            <w:r w:rsidRPr="00E87403">
              <w:rPr>
                <w:rFonts w:ascii="Sylfaen" w:hAnsi="Sylfaen"/>
                <w:sz w:val="20"/>
                <w:lang w:val="ru-RU"/>
              </w:rPr>
              <w:t>) (</w:t>
            </w:r>
            <w:r w:rsidRPr="00E87403">
              <w:rPr>
                <w:rFonts w:ascii="Sylfaen" w:hAnsi="Sylfaen"/>
                <w:sz w:val="20"/>
              </w:rPr>
              <w:t>ANSI</w:t>
            </w:r>
            <w:r w:rsidRPr="00E87403">
              <w:rPr>
                <w:rFonts w:ascii="Sylfaen" w:hAnsi="Sylfaen"/>
                <w:sz w:val="20"/>
                <w:lang w:val="ru-RU"/>
              </w:rPr>
              <w:t>/</w:t>
            </w:r>
            <w:r w:rsidRPr="00E87403">
              <w:rPr>
                <w:rFonts w:ascii="Sylfaen" w:hAnsi="Sylfaen"/>
                <w:sz w:val="20"/>
              </w:rPr>
              <w:t>SBS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 1-2004). В одной упаковке содержится 10 микротаблеток.  Поставляется в коробках по 10 штук в индивидуальной упаковке. 2,5 кг, размеры: 335 х 250 х 165 мм.</w:t>
            </w:r>
          </w:p>
          <w:p w14:paraId="2E34AEB4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</w:p>
          <w:p w14:paraId="361EF706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b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sz w:val="20"/>
                <w:lang w:val="ru-RU"/>
              </w:rPr>
              <w:t>Белый микропланшеты с прозрачным дном</w:t>
            </w:r>
          </w:p>
          <w:p w14:paraId="5CF76D88" w14:textId="77777777" w:rsidR="00AA1356" w:rsidRPr="00E87403" w:rsidRDefault="00816AAE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</w:rPr>
            </w:pPr>
            <w:r>
              <w:rPr>
                <w:rFonts w:ascii="Sylfaen" w:hAnsi="Sylfaen"/>
                <w:noProof/>
                <w:sz w:val="20"/>
              </w:rPr>
              <w:pict w14:anchorId="1CE51C10">
                <v:shape id="Picture 3" o:spid="_x0000_i1027" type="#_x0000_t75" alt="ViewPlate-96, White 96-well Microplate with Clear Bottom, Sterile and  Tissue Culture Treated, Lid Included | Revvity" style="width:102pt;height:102pt;visibility:visible;mso-wrap-style:square">
                  <v:imagedata r:id="rId19" o:title="ViewPlate-96, White 96-well Microplate with Clear Bottom, Sterile and  Tissue Culture Treated, Lid Included | Revvity"/>
                </v:shape>
              </w:pict>
            </w:r>
          </w:p>
          <w:p w14:paraId="1B31D7C5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Corning Life Sciences, VWR</w:t>
            </w:r>
            <w:r w:rsidRPr="00E87403">
              <w:rPr>
                <w:rFonts w:ascii="Sylfaen" w:hAnsi="Sylfaen" w:cs="Sylfaen"/>
                <w:sz w:val="20"/>
              </w:rPr>
              <w:t xml:space="preserve">,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Thermo Fisher Scientific или </w:t>
            </w:r>
            <w:r w:rsidRPr="00E87403">
              <w:rPr>
                <w:rFonts w:ascii="Sylfaen" w:hAnsi="Sylfaen" w:cs="Sylfaen"/>
                <w:bCs/>
                <w:sz w:val="20"/>
                <w:lang w:val="hy-AM"/>
              </w:rPr>
              <w:t xml:space="preserve">Greiner Bio-One </w:t>
            </w:r>
          </w:p>
          <w:p w14:paraId="622F607A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lastRenderedPageBreak/>
              <w:t>Они предназначены для измерений методом флуоресценции 300-700 нм. Совместим с многофункциональным микропланшетным спектрофотометром.</w:t>
            </w:r>
          </w:p>
          <w:p w14:paraId="4E952633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с. Пластины с белыми стенками микропланшета усиливают флуоресцентные сигналы и имеют низкую фоновую люминесценцию и флуоресценцию. Дно микропланшета на 60% тоньше, чем обычные полистироловые пластины, что приводит к снижению фоновой флуоресценции и позволяет получать данные при длине волны до 340 нм. Формат 96-луночного микропланшета. Отверстия круглые, прозрачные, дно гладкое, благодаря чему его можно использовать и под микроскопом. Может использоваться в верхних и нижних измерительных устройствах. Максимальный объем отверстия: 360 мкл, рабочие объемы: от 75 до 200 мкл. Стерилизовано гамма-излучением и апирогенно. Каждая упаковка содержит 10 микротаблеток.  Поставляется в коробках по 10 штук в индивидуальной упаковке. Соответствует рекомендациям Американского национального института стандартов (</w:t>
            </w:r>
            <w:r w:rsidRPr="00E87403">
              <w:rPr>
                <w:rFonts w:ascii="Sylfaen" w:hAnsi="Sylfaen"/>
                <w:sz w:val="20"/>
              </w:rPr>
              <w:t>ANSI</w:t>
            </w:r>
            <w:r w:rsidRPr="00E87403">
              <w:rPr>
                <w:rFonts w:ascii="Sylfaen" w:hAnsi="Sylfaen"/>
                <w:sz w:val="20"/>
                <w:lang w:val="ru-RU"/>
              </w:rPr>
              <w:t>) (</w:t>
            </w:r>
            <w:r w:rsidRPr="00E87403">
              <w:rPr>
                <w:rFonts w:ascii="Sylfaen" w:hAnsi="Sylfaen"/>
                <w:sz w:val="20"/>
              </w:rPr>
              <w:t>ANSI</w:t>
            </w:r>
            <w:r w:rsidRPr="00E87403">
              <w:rPr>
                <w:rFonts w:ascii="Sylfaen" w:hAnsi="Sylfaen"/>
                <w:sz w:val="20"/>
                <w:lang w:val="ru-RU"/>
              </w:rPr>
              <w:t>/</w:t>
            </w:r>
            <w:r w:rsidRPr="00E87403">
              <w:rPr>
                <w:rFonts w:ascii="Sylfaen" w:hAnsi="Sylfaen"/>
                <w:sz w:val="20"/>
              </w:rPr>
              <w:t>SBS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 1-2004).</w:t>
            </w:r>
          </w:p>
          <w:p w14:paraId="4AE7525C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</w:p>
          <w:p w14:paraId="274F797A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b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sz w:val="20"/>
                <w:lang w:val="ru-RU"/>
              </w:rPr>
              <w:t xml:space="preserve">Черный микропланшет с непрозрачным дном </w:t>
            </w:r>
          </w:p>
          <w:p w14:paraId="2EF3FFEF" w14:textId="77777777" w:rsidR="00AA1356" w:rsidRPr="00E87403" w:rsidRDefault="00816AAE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</w:rPr>
            </w:pPr>
            <w:r>
              <w:rPr>
                <w:rFonts w:ascii="Sylfaen" w:hAnsi="Sylfaen"/>
                <w:noProof/>
                <w:sz w:val="20"/>
              </w:rPr>
              <w:pict w14:anchorId="1C724A63">
                <v:shape id="Picture 4" o:spid="_x0000_i1028" type="#_x0000_t75" alt="Assay Plates (PS), 96 Round Well Flat-Bottom, Black, 14.10mm Height, 340ul  – Innovative Laboratory Products" style="width:114.75pt;height:91.5pt;visibility:visible;mso-wrap-style:square">
                  <v:imagedata r:id="rId20" o:title="Assay Plates (PS), 96 Round Well Flat-Bottom, Black, 14"/>
                </v:shape>
              </w:pict>
            </w:r>
          </w:p>
          <w:p w14:paraId="61AE39A8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Corning Life Sciences, VWR</w:t>
            </w:r>
            <w:r w:rsidRPr="00E87403">
              <w:rPr>
                <w:rFonts w:ascii="Sylfaen" w:hAnsi="Sylfaen" w:cs="Sylfaen"/>
                <w:sz w:val="20"/>
              </w:rPr>
              <w:t xml:space="preserve">,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Thermo Fisher Scientific или </w:t>
            </w:r>
            <w:r w:rsidRPr="00E87403">
              <w:rPr>
                <w:rFonts w:ascii="Sylfaen" w:hAnsi="Sylfaen" w:cs="Sylfaen"/>
                <w:bCs/>
                <w:sz w:val="20"/>
                <w:lang w:val="hy-AM"/>
              </w:rPr>
              <w:t xml:space="preserve">Greiner Bio-One </w:t>
            </w:r>
          </w:p>
          <w:p w14:paraId="73E6C6F5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Предназначен для измерений флуоресценции 400–700 нм, </w:t>
            </w:r>
            <w:r w:rsidRPr="00E87403">
              <w:rPr>
                <w:rFonts w:ascii="Sylfaen" w:hAnsi="Sylfaen"/>
                <w:sz w:val="20"/>
              </w:rPr>
              <w:t>FRET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 и измерений абсорбционного типа. Совместим с многофункциональным микропланшетным спектрофотометром. Формат: 96 лунок. Стерильный. Профиль отверстий: круглые, плоские/разделенные отверстия. Площадь одного отверстия 34 мм². Рабочий объем на лунку: 25-340 мкл. Совместимость с автоматизированными системами. Слоты для микропланшетов имеют буквенно-цифровую кодировку. Он применим для оптимального микроскопического исследования микроэлементов.</w:t>
            </w:r>
          </w:p>
          <w:p w14:paraId="776B988A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 Соответствует рекомендациям Американского национального института стандартов (</w:t>
            </w:r>
            <w:r w:rsidRPr="00E87403">
              <w:rPr>
                <w:rFonts w:ascii="Sylfaen" w:hAnsi="Sylfaen"/>
                <w:sz w:val="20"/>
              </w:rPr>
              <w:t>ANSI</w:t>
            </w:r>
            <w:r w:rsidRPr="00E87403">
              <w:rPr>
                <w:rFonts w:ascii="Sylfaen" w:hAnsi="Sylfaen"/>
                <w:sz w:val="20"/>
                <w:lang w:val="ru-RU"/>
              </w:rPr>
              <w:t>) (</w:t>
            </w:r>
            <w:r w:rsidRPr="00E87403">
              <w:rPr>
                <w:rFonts w:ascii="Sylfaen" w:hAnsi="Sylfaen"/>
                <w:sz w:val="20"/>
              </w:rPr>
              <w:t>ANSI</w:t>
            </w:r>
            <w:r w:rsidRPr="00E87403">
              <w:rPr>
                <w:rFonts w:ascii="Sylfaen" w:hAnsi="Sylfaen"/>
                <w:sz w:val="20"/>
                <w:lang w:val="ru-RU"/>
              </w:rPr>
              <w:t>/</w:t>
            </w:r>
            <w:r w:rsidRPr="00E87403">
              <w:rPr>
                <w:rFonts w:ascii="Sylfaen" w:hAnsi="Sylfaen"/>
                <w:sz w:val="20"/>
              </w:rPr>
              <w:t>SBS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 1-2004). Вес упаковки: 2,1 кг, размеры: 335 х 250 х 165 мм.  Поставляется в коробках по 10 штук в </w:t>
            </w:r>
            <w:r w:rsidRPr="00E87403">
              <w:rPr>
                <w:rFonts w:ascii="Sylfaen" w:hAnsi="Sylfaen"/>
                <w:sz w:val="20"/>
                <w:lang w:val="ru-RU"/>
              </w:rPr>
              <w:lastRenderedPageBreak/>
              <w:t>индивидуальной упаковке.</w:t>
            </w:r>
          </w:p>
          <w:p w14:paraId="75C7E9EE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</w:p>
          <w:p w14:paraId="11663CC9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b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sz w:val="20"/>
                <w:lang w:val="ru-RU"/>
              </w:rPr>
              <w:t>Черные микропланшеты с прозрачным дном.</w:t>
            </w:r>
          </w:p>
          <w:p w14:paraId="1A369F19" w14:textId="77777777" w:rsidR="00AA1356" w:rsidRPr="00E87403" w:rsidRDefault="00816AAE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</w:rPr>
            </w:pPr>
            <w:r>
              <w:rPr>
                <w:rFonts w:ascii="Sylfaen" w:hAnsi="Sylfaen"/>
                <w:noProof/>
                <w:sz w:val="20"/>
              </w:rPr>
              <w:pict w14:anchorId="679C70C2">
                <v:shape id="Picture 5" o:spid="_x0000_i1029" type="#_x0000_t75" alt="Corning 3651 96-Well Non-Binding Surface Microplates, Fluorescence  Applications, Black, Clear-Bottom from Cole-Parmer India" style="width:101.25pt;height:69.75pt;visibility:visible;mso-wrap-style:square">
                  <v:imagedata r:id="rId21" o:title="Corning 3651 96-Well Non-Binding Surface Microplates, Fluorescence  Applications, Black, Clear-Bottom from Cole-Parmer India"/>
                </v:shape>
              </w:pict>
            </w:r>
          </w:p>
          <w:p w14:paraId="3C823EC6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Corning Life Sciences, VWR</w:t>
            </w:r>
            <w:r w:rsidRPr="00E87403">
              <w:rPr>
                <w:rFonts w:ascii="Sylfaen" w:hAnsi="Sylfaen" w:cs="Sylfaen"/>
                <w:sz w:val="20"/>
              </w:rPr>
              <w:t xml:space="preserve">,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Thermo Fisher Scientific или </w:t>
            </w:r>
            <w:r w:rsidRPr="00E87403">
              <w:rPr>
                <w:rFonts w:ascii="Sylfaen" w:hAnsi="Sylfaen" w:cs="Sylfaen"/>
                <w:bCs/>
                <w:sz w:val="20"/>
                <w:lang w:val="hy-AM"/>
              </w:rPr>
              <w:t xml:space="preserve">Greiner Bio-One </w:t>
            </w:r>
          </w:p>
          <w:p w14:paraId="6BAF10B6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Предназначен для измерений флуоресценции 300-700 нм, </w:t>
            </w:r>
            <w:r w:rsidRPr="00E87403">
              <w:rPr>
                <w:rFonts w:ascii="Sylfaen" w:hAnsi="Sylfaen"/>
                <w:sz w:val="20"/>
              </w:rPr>
              <w:t>FRET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 и флуоресцентного поляризационного типа. Совместим с многофункциональным микропланшетным спектрофотометром.</w:t>
            </w:r>
          </w:p>
          <w:p w14:paraId="36210DB4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с. Соответствует рекомендациям Американского национального института стандартов (</w:t>
            </w:r>
            <w:r w:rsidRPr="00E87403">
              <w:rPr>
                <w:rFonts w:ascii="Sylfaen" w:hAnsi="Sylfaen"/>
                <w:sz w:val="20"/>
              </w:rPr>
              <w:t>ANSI</w:t>
            </w:r>
            <w:r w:rsidRPr="00E87403">
              <w:rPr>
                <w:rFonts w:ascii="Sylfaen" w:hAnsi="Sylfaen"/>
                <w:sz w:val="20"/>
                <w:lang w:val="ru-RU"/>
              </w:rPr>
              <w:t>) (</w:t>
            </w:r>
            <w:r w:rsidRPr="00E87403">
              <w:rPr>
                <w:rFonts w:ascii="Sylfaen" w:hAnsi="Sylfaen"/>
                <w:sz w:val="20"/>
              </w:rPr>
              <w:t>ANSI</w:t>
            </w:r>
            <w:r w:rsidRPr="00E87403">
              <w:rPr>
                <w:rFonts w:ascii="Sylfaen" w:hAnsi="Sylfaen"/>
                <w:sz w:val="20"/>
                <w:lang w:val="ru-RU"/>
              </w:rPr>
              <w:t>/</w:t>
            </w:r>
            <w:r w:rsidRPr="00E87403">
              <w:rPr>
                <w:rFonts w:ascii="Sylfaen" w:hAnsi="Sylfaen"/>
                <w:sz w:val="20"/>
              </w:rPr>
              <w:t>SBS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 1-2004). Планшеты для микропланшетов с белыми стенками усиливают флуоресцентные сигналы и имеют низкую фоновую люминесценцию и флуоресценцию. Формат микропланшета: 96 лунок. Отверстия круглые, прозрачные, дно гладкое, благодаря чему его можно использовать и в микроскопических методах. Может использоваться в верхних и нижних измерительных устройствах. Максимальный объем отверстия: 360 мкл, рабочие объемы: от 75 до 200 мкл. Стерилизовано гамма-излучением и апирогенно. Индивидуальная и цифровая идентификация отверстий.</w:t>
            </w:r>
          </w:p>
          <w:p w14:paraId="2D178856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буквенно-цифровые коды. Каждая упаковка имеет индивидуальную упаковку.  Поставляется в коробках по 10 штук в индивидуальной упаковке. </w:t>
            </w:r>
          </w:p>
          <w:p w14:paraId="7AD60BD4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</w:p>
          <w:p w14:paraId="0090B3E3" w14:textId="2F9E03A3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Согласуйте с клиентом перед доставкой. Доставка в новых, невскрытых и неиспользованных коробках. Имеется сертификат производителя.</w:t>
            </w:r>
          </w:p>
          <w:p w14:paraId="548BCA10" w14:textId="4A51C649" w:rsidR="00AA1356" w:rsidRPr="00E87403" w:rsidRDefault="00AA1356" w:rsidP="00E87403">
            <w:pPr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</w:rPr>
              <w:t>Kомплект соответствует 1 шт.</w:t>
            </w:r>
          </w:p>
        </w:tc>
        <w:tc>
          <w:tcPr>
            <w:tcW w:w="709" w:type="dxa"/>
          </w:tcPr>
          <w:p w14:paraId="11D3A600" w14:textId="3E30A88D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lastRenderedPageBreak/>
              <w:t>шт.</w:t>
            </w:r>
          </w:p>
        </w:tc>
        <w:tc>
          <w:tcPr>
            <w:tcW w:w="567" w:type="dxa"/>
          </w:tcPr>
          <w:p w14:paraId="558907B2" w14:textId="112BE3F6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1</w:t>
            </w:r>
          </w:p>
        </w:tc>
        <w:tc>
          <w:tcPr>
            <w:tcW w:w="1671" w:type="dxa"/>
          </w:tcPr>
          <w:p w14:paraId="04F92464" w14:textId="09B0969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Алек Манукян 1/3</w:t>
            </w:r>
          </w:p>
        </w:tc>
        <w:tc>
          <w:tcPr>
            <w:tcW w:w="1890" w:type="dxa"/>
          </w:tcPr>
          <w:p w14:paraId="64F5B2F1" w14:textId="74AA8100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В течение 6 месяцев после подписания контракта</w:t>
            </w:r>
          </w:p>
        </w:tc>
      </w:tr>
      <w:tr w:rsidR="00AA1356" w:rsidRPr="00816AAE" w14:paraId="1FD1271E" w14:textId="77777777" w:rsidTr="00AA1356">
        <w:trPr>
          <w:trHeight w:val="70"/>
        </w:trPr>
        <w:tc>
          <w:tcPr>
            <w:tcW w:w="851" w:type="dxa"/>
          </w:tcPr>
          <w:p w14:paraId="6C452B45" w14:textId="77777777" w:rsidR="00AA1356" w:rsidRPr="00E87403" w:rsidRDefault="00AA1356" w:rsidP="00E87403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20"/>
                <w:lang w:val="ru-RU"/>
              </w:rPr>
            </w:pPr>
          </w:p>
        </w:tc>
        <w:tc>
          <w:tcPr>
            <w:tcW w:w="1270" w:type="dxa"/>
          </w:tcPr>
          <w:p w14:paraId="71E41F8E" w14:textId="77777777" w:rsidR="00AA1356" w:rsidRPr="00E87403" w:rsidRDefault="00AA1356" w:rsidP="00E87403">
            <w:pPr>
              <w:rPr>
                <w:rFonts w:ascii="Sylfaen" w:hAnsi="Sylfaen" w:cs="Calibri"/>
                <w:color w:val="37474F"/>
                <w:sz w:val="20"/>
                <w:lang w:eastAsia="en-US"/>
              </w:rPr>
            </w:pPr>
            <w:r w:rsidRPr="00D76412">
              <w:rPr>
                <w:rFonts w:ascii="Sylfaen" w:hAnsi="Sylfaen" w:cs="Calibri"/>
                <w:color w:val="37474F"/>
                <w:sz w:val="20"/>
                <w:lang w:val="ru-RU"/>
              </w:rPr>
              <w:br/>
            </w:r>
            <w:r w:rsidRPr="00E87403">
              <w:rPr>
                <w:rFonts w:ascii="Sylfaen" w:hAnsi="Sylfaen" w:cs="Calibri"/>
                <w:color w:val="37474F"/>
                <w:sz w:val="20"/>
              </w:rPr>
              <w:t>38591200/46</w:t>
            </w:r>
          </w:p>
          <w:p w14:paraId="3499E423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</w:p>
        </w:tc>
        <w:tc>
          <w:tcPr>
            <w:tcW w:w="1371" w:type="dxa"/>
            <w:vAlign w:val="center"/>
          </w:tcPr>
          <w:p w14:paraId="0ED1E61D" w14:textId="2E4C8D5F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Автоматический титратор с принадлежностями</w:t>
            </w:r>
          </w:p>
        </w:tc>
        <w:tc>
          <w:tcPr>
            <w:tcW w:w="6431" w:type="dxa"/>
            <w:vAlign w:val="center"/>
          </w:tcPr>
          <w:p w14:paraId="49D84336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eastAsia="en-US"/>
              </w:rPr>
            </w:pPr>
            <w:r w:rsidRPr="00E87403">
              <w:rPr>
                <w:rFonts w:ascii="Sylfaen" w:eastAsiaTheme="minorHAnsi" w:hAnsi="Sylfaen" w:cstheme="minorBidi"/>
                <w:noProof/>
                <w:sz w:val="20"/>
                <w:lang w:eastAsia="en-US"/>
              </w:rPr>
              <w:drawing>
                <wp:inline distT="0" distB="0" distL="0" distR="0" wp14:anchorId="31E2FAF1" wp14:editId="6BC1B11C">
                  <wp:extent cx="1371600" cy="1371600"/>
                  <wp:effectExtent l="0" t="0" r="0" b="0"/>
                  <wp:docPr id="1916379236" name="Picture 1916379236" descr="HI902C2 – Titration System – Potentiometric – 2 analog boards - Hanna  Instruments (Thailan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I902C2 – Titration System – Potentiometric – 2 analog boards - Hanna  Instruments (Thailan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395448" cy="1395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8975652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9" w:lineRule="auto"/>
              <w:rPr>
                <w:rFonts w:ascii="Sylfaen" w:eastAsiaTheme="minorHAnsi" w:hAnsi="Sylfaen" w:cs="Sylfaen"/>
                <w:sz w:val="20"/>
                <w:lang w:eastAsia="en-US"/>
              </w:rPr>
            </w:pPr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lastRenderedPageBreak/>
              <w:t>Hanna</w:t>
            </w:r>
            <w:r w:rsidRPr="00E87403">
              <w:rPr>
                <w:rFonts w:ascii="Sylfaen" w:eastAsiaTheme="minorHAnsi" w:hAnsi="Sylfaen" w:cs="Sylfaen"/>
                <w:sz w:val="20"/>
                <w:lang w:val="hy-AM" w:eastAsia="en-US"/>
              </w:rPr>
              <w:t xml:space="preserve">, </w:t>
            </w:r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t>Metrohm Titrando, Endress Hauser Proline или</w:t>
            </w:r>
            <w:r w:rsidRPr="00E87403">
              <w:rPr>
                <w:rFonts w:ascii="Sylfaen" w:eastAsiaTheme="minorHAnsi" w:hAnsi="Sylfaen" w:cs="Sylfaen"/>
                <w:sz w:val="20"/>
                <w:lang w:val="hy-AM" w:eastAsia="en-US"/>
              </w:rPr>
              <w:t xml:space="preserve"> </w:t>
            </w:r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t>Thermo Scientific Orion</w:t>
            </w:r>
          </w:p>
          <w:p w14:paraId="30D74A40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9" w:lineRule="auto"/>
              <w:rPr>
                <w:rFonts w:ascii="Sylfaen" w:eastAsiaTheme="minorHAnsi" w:hAnsi="Sylfaen" w:cs="Sylfaen"/>
                <w:sz w:val="20"/>
                <w:lang w:val="hy-AM" w:eastAsia="en-US"/>
              </w:rPr>
            </w:pPr>
            <w:r w:rsidRPr="00E87403">
              <w:rPr>
                <w:rFonts w:ascii="Sylfaen" w:eastAsiaTheme="minorHAnsi" w:hAnsi="Sylfaen" w:cs="Sylfaen"/>
                <w:sz w:val="20"/>
                <w:lang w:val="hy-AM" w:eastAsia="en-US"/>
              </w:rPr>
              <w:t>1 шт.</w:t>
            </w:r>
          </w:p>
          <w:p w14:paraId="4E485782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Автоматический прибор-титратор, выполняющий быстрое и точное лабораторное титрование более чем 100 методами, способный выполнять кислотно-основное, потенциометрическое, комплексометрическое и обратное титрование. Этот титратор может выполнять до 100 стандартных или определяемых пользователем методов - от 2000,0 до 2000,0 мВ; от -2000 до 20000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pH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; От -5,0 до 105,0°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C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/от 23 до 221°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F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/от 268,2 до 378,2 К. В состав системы входят бюретки различных размеров (5, 10 и 25 мл). Устройство включает в себя программируемые мешалки, которые обеспечивают шнековое перемешивание на скоростях от 100 до 2500 об/мин, которые автоматически поддерживаются в пределах 10% от заданного значения. Возможна калибровка по пяти точкам для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pH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и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ISE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и по одной точке для мВ. Система может хранить до 100 отчетов о титровании и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pH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/мВ/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ISE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, что облегчает комплексный анализ данных и документирование.</w:t>
            </w:r>
          </w:p>
          <w:p w14:paraId="48520366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</w:p>
          <w:p w14:paraId="0D592C7C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в аксесуарах есть 1 шт. дозатор для удобного обращения с жидкостями.</w:t>
            </w:r>
          </w:p>
          <w:p w14:paraId="310C4F04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eastAsia="en-US"/>
              </w:rPr>
            </w:pPr>
            <w:r w:rsidRPr="00E87403">
              <w:rPr>
                <w:rFonts w:ascii="Sylfaen" w:eastAsiaTheme="minorHAnsi" w:hAnsi="Sylfaen" w:cstheme="minorBidi"/>
                <w:noProof/>
                <w:sz w:val="20"/>
                <w:lang w:eastAsia="en-US"/>
              </w:rPr>
              <w:drawing>
                <wp:inline distT="0" distB="0" distL="0" distR="0" wp14:anchorId="00B47CE8" wp14:editId="27287BF7">
                  <wp:extent cx="893712" cy="1588418"/>
                  <wp:effectExtent l="0" t="0" r="1905" b="0"/>
                  <wp:docPr id="827504571" name="Picture 827504571" descr="Bottle-top dispensers Dispensette® S, analog-adjustable, DE-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Bottle-top dispensers Dispensette® S, analog-adjustable, DE-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2466" cy="1657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040083F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9" w:lineRule="auto"/>
              <w:rPr>
                <w:rFonts w:ascii="Sylfaen" w:eastAsiaTheme="minorHAnsi" w:hAnsi="Sylfaen" w:cs="Sylfaen"/>
                <w:sz w:val="20"/>
                <w:lang w:val="hy-AM" w:eastAsia="en-US"/>
              </w:rPr>
            </w:pPr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t xml:space="preserve">Brand, Eppendorf – Xplorer™ </w:t>
            </w:r>
            <w:r w:rsidRPr="00E87403">
              <w:rPr>
                <w:rFonts w:ascii="Sylfaen" w:eastAsiaTheme="minorHAnsi" w:hAnsi="Sylfaen" w:cs="Sylfaen"/>
                <w:sz w:val="20"/>
                <w:lang w:val="hy-AM" w:eastAsia="en-US"/>
              </w:rPr>
              <w:t>или Hamilton – Microlab®</w:t>
            </w:r>
          </w:p>
          <w:p w14:paraId="738930C6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Дозатор позволяет работать с жидкостями прямо из бутылочек или других емкостей. Они экономят время и обеспечивают безопасность, так как не требуются промежуточные этапы работы.</w:t>
            </w:r>
          </w:p>
          <w:p w14:paraId="71211E9A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В комплект входит дозатор емкостью 25 мл или 50 мл для бутылочек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GL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45, трубка (длина 170-330 мм), рециркуляционная трубка, 2 батарейки 1,5 В (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AAA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/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UM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4/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LR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03), 3 полипропиленовых адаптера для бутылочек (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GL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32-). 33, ГЛ 38, С 40, НС 29/32), Сертификат качества и инструкция 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lastRenderedPageBreak/>
              <w:t>по эксплуатации. Дозатор имеет простую и эффективную конструкцию крепления к бутылке, отдельные кнопки включения/выключения, паузы и ОЧИСТИТЬ. Можно использовать для водных и неводных растворов до 1 М (например, этанольный раствор КОН). Детали, контактирующие с жидкостью, изготовлены из прочных материалов.</w:t>
            </w:r>
          </w:p>
          <w:p w14:paraId="1E9FF1C2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Рабочая температура: От +15 °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C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до +40 °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C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для устройства и материала</w:t>
            </w:r>
          </w:p>
          <w:p w14:paraId="790A6408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Давление пара: до 500 мБар</w:t>
            </w:r>
          </w:p>
          <w:p w14:paraId="1EAC8ED4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Вязкость: до 500 мм²/с</w:t>
            </w:r>
          </w:p>
          <w:p w14:paraId="5CF021AC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Высота: максимум 3000 м над уровнем моря</w:t>
            </w:r>
          </w:p>
          <w:p w14:paraId="0348A858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Относительная влажность: от 20% до 90%</w:t>
            </w:r>
          </w:p>
          <w:p w14:paraId="156ED7D1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Для объемов до 25 мл:</w:t>
            </w:r>
          </w:p>
          <w:p w14:paraId="585A27F8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Точность в %: (±) 0,07%</w:t>
            </w:r>
          </w:p>
          <w:p w14:paraId="15BC4B09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Точность в мкл (±) 18 мкл</w:t>
            </w:r>
          </w:p>
          <w:p w14:paraId="739747FF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Коэффициент вариации (%) 0,025%</w:t>
            </w:r>
          </w:p>
          <w:p w14:paraId="0DB1F687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Коэффициент вариации (мкл) 6 мкл</w:t>
            </w:r>
          </w:p>
          <w:p w14:paraId="7F4B5A4D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Объем: 50 мл</w:t>
            </w:r>
          </w:p>
          <w:p w14:paraId="08D44432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Точность в % (±) 0,06 %</w:t>
            </w:r>
          </w:p>
          <w:p w14:paraId="5248EE55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Точность в мкл (±) 30 мкл</w:t>
            </w:r>
          </w:p>
          <w:p w14:paraId="52EC073F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Коэффициент вариации (%) 0,02%</w:t>
            </w:r>
          </w:p>
          <w:p w14:paraId="43DEE9F5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Коэффициент вариации (мкл) 10 мкл,</w:t>
            </w:r>
          </w:p>
          <w:p w14:paraId="59C22F53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</w:p>
          <w:p w14:paraId="099E5C65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Или объем до 50 мл для дозатора емкостью 25 мл с соответствующими характеристиками.</w:t>
            </w:r>
          </w:p>
          <w:p w14:paraId="1B4B4EFC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</w:p>
          <w:p w14:paraId="2575A062" w14:textId="3BC33CBE" w:rsidR="00AA1356" w:rsidRPr="00E87403" w:rsidRDefault="00AA1356" w:rsidP="00E87403">
            <w:pPr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Согласуйте с клиентом перед доставкой. Доставка в новых, невскрытых и неиспользованных коробках. Имеется сертификат производителя. Kомплект соответствует 1 шт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.</w:t>
            </w:r>
          </w:p>
        </w:tc>
        <w:tc>
          <w:tcPr>
            <w:tcW w:w="709" w:type="dxa"/>
            <w:vAlign w:val="center"/>
          </w:tcPr>
          <w:p w14:paraId="2C968BC5" w14:textId="57288899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lastRenderedPageBreak/>
              <w:t>Шт</w:t>
            </w:r>
            <w:r w:rsidRPr="00E87403">
              <w:rPr>
                <w:rFonts w:ascii="Times New Roman" w:eastAsiaTheme="minorHAnsi" w:hAnsi="Times New Roman"/>
                <w:sz w:val="20"/>
                <w:lang w:val="hy-AM" w:eastAsia="en-US"/>
              </w:rPr>
              <w:t>․</w:t>
            </w:r>
          </w:p>
        </w:tc>
        <w:tc>
          <w:tcPr>
            <w:tcW w:w="567" w:type="dxa"/>
            <w:vAlign w:val="center"/>
          </w:tcPr>
          <w:p w14:paraId="4395C283" w14:textId="5C8D5DDB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1</w:t>
            </w:r>
          </w:p>
        </w:tc>
        <w:tc>
          <w:tcPr>
            <w:tcW w:w="1671" w:type="dxa"/>
          </w:tcPr>
          <w:p w14:paraId="6353F4D4" w14:textId="34BF96C0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Алек Манукян 1/3</w:t>
            </w:r>
          </w:p>
        </w:tc>
        <w:tc>
          <w:tcPr>
            <w:tcW w:w="1890" w:type="dxa"/>
          </w:tcPr>
          <w:p w14:paraId="26E44FAB" w14:textId="67FBAA4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В течение 6 месяцев после подписания контракта</w:t>
            </w:r>
          </w:p>
        </w:tc>
      </w:tr>
      <w:bookmarkEnd w:id="2"/>
    </w:tbl>
    <w:p w14:paraId="6D1CF3B0" w14:textId="6BD5FC8E" w:rsidR="00EB07C6" w:rsidRPr="00E87403" w:rsidRDefault="00EB07C6" w:rsidP="00E87403">
      <w:pPr>
        <w:rPr>
          <w:rFonts w:ascii="Sylfaen" w:hAnsi="Sylfaen"/>
          <w:sz w:val="20"/>
          <w:lang w:val="ru-RU"/>
        </w:rPr>
      </w:pPr>
    </w:p>
    <w:p w14:paraId="0ABD9190" w14:textId="77777777" w:rsidR="00EB07C6" w:rsidRPr="00E87403" w:rsidRDefault="00EB07C6" w:rsidP="00E87403">
      <w:pPr>
        <w:spacing w:line="276" w:lineRule="auto"/>
        <w:ind w:right="-384"/>
        <w:rPr>
          <w:rFonts w:ascii="Sylfaen" w:hAnsi="Sylfaen" w:cs="Arial"/>
          <w:sz w:val="20"/>
          <w:lang w:val="hy-AM"/>
        </w:rPr>
      </w:pPr>
    </w:p>
    <w:bookmarkEnd w:id="1"/>
    <w:p w14:paraId="4404E673" w14:textId="77777777" w:rsidR="00E81156" w:rsidRPr="00E87403" w:rsidRDefault="00E81156" w:rsidP="00E87403">
      <w:pPr>
        <w:spacing w:line="276" w:lineRule="auto"/>
        <w:ind w:right="-384"/>
        <w:rPr>
          <w:rFonts w:ascii="Sylfaen" w:hAnsi="Sylfaen" w:cs="Arial"/>
          <w:sz w:val="20"/>
          <w:lang w:val="ru-RU"/>
        </w:rPr>
      </w:pPr>
    </w:p>
    <w:p w14:paraId="7ABDFBDF" w14:textId="0A5B25FB" w:rsidR="00E81156" w:rsidRPr="00E87403" w:rsidRDefault="00E81156" w:rsidP="00E87403">
      <w:pPr>
        <w:spacing w:line="276" w:lineRule="auto"/>
        <w:ind w:right="-384"/>
        <w:rPr>
          <w:rFonts w:ascii="Sylfaen" w:hAnsi="Sylfaen" w:cs="Arial"/>
          <w:sz w:val="20"/>
          <w:lang w:val="ru-RU"/>
        </w:rPr>
      </w:pPr>
    </w:p>
    <w:p w14:paraId="4DE889C2" w14:textId="4D7ADCC2" w:rsidR="00160C72" w:rsidRPr="00E87403" w:rsidRDefault="00160C72" w:rsidP="00E87403">
      <w:pPr>
        <w:spacing w:line="276" w:lineRule="auto"/>
        <w:ind w:right="-384"/>
        <w:rPr>
          <w:rFonts w:ascii="Sylfaen" w:hAnsi="Sylfaen" w:cs="Arial"/>
          <w:b/>
          <w:sz w:val="20"/>
          <w:lang w:val="hy-AM"/>
        </w:rPr>
      </w:pPr>
    </w:p>
    <w:sectPr w:rsidR="00160C72" w:rsidRPr="00E87403" w:rsidSect="001E5E4B">
      <w:pgSz w:w="16838" w:h="11906" w:orient="landscape"/>
      <w:pgMar w:top="567" w:right="1954" w:bottom="567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A495956" w14:textId="77777777" w:rsidR="00BE35E1" w:rsidRDefault="00BE35E1" w:rsidP="00222805">
      <w:r>
        <w:separator/>
      </w:r>
    </w:p>
  </w:endnote>
  <w:endnote w:type="continuationSeparator" w:id="0">
    <w:p w14:paraId="3678C4AA" w14:textId="77777777" w:rsidR="00BE35E1" w:rsidRDefault="00BE35E1" w:rsidP="002228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Armenian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Arial Armenian">
    <w:altName w:val="Arial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E9A9674" w14:textId="77777777" w:rsidR="00BE35E1" w:rsidRDefault="00BE35E1" w:rsidP="00222805">
      <w:r>
        <w:separator/>
      </w:r>
    </w:p>
  </w:footnote>
  <w:footnote w:type="continuationSeparator" w:id="0">
    <w:p w14:paraId="0FD7B45B" w14:textId="77777777" w:rsidR="00BE35E1" w:rsidRDefault="00BE35E1" w:rsidP="00222805">
      <w:r>
        <w:continuationSeparator/>
      </w:r>
    </w:p>
  </w:footnote>
  <w:footnote w:id="1">
    <w:p w14:paraId="3973CFBA" w14:textId="77777777" w:rsidR="00E87403" w:rsidRPr="00A52CAB" w:rsidRDefault="00E87403" w:rsidP="00E81156">
      <w:pPr>
        <w:pStyle w:val="FootnoteText"/>
        <w:rPr>
          <w:rFonts w:asciiTheme="minorHAnsi" w:hAnsiTheme="minorHAnsi"/>
          <w:lang w:val="hy-AM"/>
        </w:rPr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2E2CC3"/>
    <w:multiLevelType w:val="hybridMultilevel"/>
    <w:tmpl w:val="C72465D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8029FA"/>
    <w:multiLevelType w:val="hybridMultilevel"/>
    <w:tmpl w:val="174C21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4A3D2E"/>
    <w:multiLevelType w:val="hybridMultilevel"/>
    <w:tmpl w:val="9EAA4F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E011A3"/>
    <w:multiLevelType w:val="hybridMultilevel"/>
    <w:tmpl w:val="BFBE620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404F8A"/>
    <w:multiLevelType w:val="hybridMultilevel"/>
    <w:tmpl w:val="B79AFD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715EBE"/>
    <w:multiLevelType w:val="multilevel"/>
    <w:tmpl w:val="B2B8D5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D236E67"/>
    <w:multiLevelType w:val="hybridMultilevel"/>
    <w:tmpl w:val="446085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C354FF"/>
    <w:multiLevelType w:val="hybridMultilevel"/>
    <w:tmpl w:val="0D12D9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8C7020"/>
    <w:multiLevelType w:val="hybridMultilevel"/>
    <w:tmpl w:val="9ADA4A5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3EB2C21"/>
    <w:multiLevelType w:val="hybridMultilevel"/>
    <w:tmpl w:val="34C84B6E"/>
    <w:lvl w:ilvl="0" w:tplc="0419000F">
      <w:start w:val="1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890"/>
        </w:tabs>
        <w:ind w:left="189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10" w15:restartNumberingAfterBreak="0">
    <w:nsid w:val="277F6D70"/>
    <w:multiLevelType w:val="hybridMultilevel"/>
    <w:tmpl w:val="606EEE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8707952"/>
    <w:multiLevelType w:val="hybridMultilevel"/>
    <w:tmpl w:val="192AC01A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2AD56D68"/>
    <w:multiLevelType w:val="hybridMultilevel"/>
    <w:tmpl w:val="65D40DA0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5570DEA"/>
    <w:multiLevelType w:val="hybridMultilevel"/>
    <w:tmpl w:val="D58628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075F2D"/>
    <w:multiLevelType w:val="hybridMultilevel"/>
    <w:tmpl w:val="0D2EFD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C165D5C"/>
    <w:multiLevelType w:val="hybridMultilevel"/>
    <w:tmpl w:val="DDB40248"/>
    <w:lvl w:ilvl="0" w:tplc="BDACEB28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0263BD2"/>
    <w:multiLevelType w:val="hybridMultilevel"/>
    <w:tmpl w:val="4F06F9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4B08E5"/>
    <w:multiLevelType w:val="hybridMultilevel"/>
    <w:tmpl w:val="4E241BE4"/>
    <w:lvl w:ilvl="0" w:tplc="04190001">
      <w:start w:val="1"/>
      <w:numFmt w:val="bullet"/>
      <w:lvlText w:val=""/>
      <w:lvlJc w:val="left"/>
      <w:pPr>
        <w:ind w:left="193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5" w:hanging="360"/>
      </w:pPr>
      <w:rPr>
        <w:rFonts w:ascii="Wingdings" w:hAnsi="Wingdings" w:hint="default"/>
      </w:rPr>
    </w:lvl>
  </w:abstractNum>
  <w:abstractNum w:abstractNumId="18" w15:restartNumberingAfterBreak="0">
    <w:nsid w:val="48BD4ED8"/>
    <w:multiLevelType w:val="hybridMultilevel"/>
    <w:tmpl w:val="10666E3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99C3781"/>
    <w:multiLevelType w:val="hybridMultilevel"/>
    <w:tmpl w:val="1FB81C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E061276"/>
    <w:multiLevelType w:val="hybridMultilevel"/>
    <w:tmpl w:val="DB8053C8"/>
    <w:lvl w:ilvl="0" w:tplc="0409000F">
      <w:start w:val="1"/>
      <w:numFmt w:val="decimal"/>
      <w:lvlText w:val="%1."/>
      <w:lvlJc w:val="left"/>
      <w:pPr>
        <w:ind w:left="2184" w:hanging="360"/>
      </w:pPr>
    </w:lvl>
    <w:lvl w:ilvl="1" w:tplc="04090019" w:tentative="1">
      <w:start w:val="1"/>
      <w:numFmt w:val="lowerLetter"/>
      <w:lvlText w:val="%2."/>
      <w:lvlJc w:val="left"/>
      <w:pPr>
        <w:ind w:left="2904" w:hanging="360"/>
      </w:pPr>
    </w:lvl>
    <w:lvl w:ilvl="2" w:tplc="0409001B" w:tentative="1">
      <w:start w:val="1"/>
      <w:numFmt w:val="lowerRoman"/>
      <w:lvlText w:val="%3."/>
      <w:lvlJc w:val="right"/>
      <w:pPr>
        <w:ind w:left="3624" w:hanging="180"/>
      </w:pPr>
    </w:lvl>
    <w:lvl w:ilvl="3" w:tplc="0409000F" w:tentative="1">
      <w:start w:val="1"/>
      <w:numFmt w:val="decimal"/>
      <w:lvlText w:val="%4."/>
      <w:lvlJc w:val="left"/>
      <w:pPr>
        <w:ind w:left="4344" w:hanging="360"/>
      </w:pPr>
    </w:lvl>
    <w:lvl w:ilvl="4" w:tplc="04090019" w:tentative="1">
      <w:start w:val="1"/>
      <w:numFmt w:val="lowerLetter"/>
      <w:lvlText w:val="%5."/>
      <w:lvlJc w:val="left"/>
      <w:pPr>
        <w:ind w:left="5064" w:hanging="360"/>
      </w:pPr>
    </w:lvl>
    <w:lvl w:ilvl="5" w:tplc="0409001B" w:tentative="1">
      <w:start w:val="1"/>
      <w:numFmt w:val="lowerRoman"/>
      <w:lvlText w:val="%6."/>
      <w:lvlJc w:val="right"/>
      <w:pPr>
        <w:ind w:left="5784" w:hanging="180"/>
      </w:pPr>
    </w:lvl>
    <w:lvl w:ilvl="6" w:tplc="0409000F" w:tentative="1">
      <w:start w:val="1"/>
      <w:numFmt w:val="decimal"/>
      <w:lvlText w:val="%7."/>
      <w:lvlJc w:val="left"/>
      <w:pPr>
        <w:ind w:left="6504" w:hanging="360"/>
      </w:pPr>
    </w:lvl>
    <w:lvl w:ilvl="7" w:tplc="04090019" w:tentative="1">
      <w:start w:val="1"/>
      <w:numFmt w:val="lowerLetter"/>
      <w:lvlText w:val="%8."/>
      <w:lvlJc w:val="left"/>
      <w:pPr>
        <w:ind w:left="7224" w:hanging="360"/>
      </w:pPr>
    </w:lvl>
    <w:lvl w:ilvl="8" w:tplc="0409001B" w:tentative="1">
      <w:start w:val="1"/>
      <w:numFmt w:val="lowerRoman"/>
      <w:lvlText w:val="%9."/>
      <w:lvlJc w:val="right"/>
      <w:pPr>
        <w:ind w:left="7944" w:hanging="180"/>
      </w:pPr>
    </w:lvl>
  </w:abstractNum>
  <w:abstractNum w:abstractNumId="21" w15:restartNumberingAfterBreak="0">
    <w:nsid w:val="50D94BF2"/>
    <w:multiLevelType w:val="hybridMultilevel"/>
    <w:tmpl w:val="510A6E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4161DAA"/>
    <w:multiLevelType w:val="hybridMultilevel"/>
    <w:tmpl w:val="8E360E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6ED146A"/>
    <w:multiLevelType w:val="hybridMultilevel"/>
    <w:tmpl w:val="B718AE74"/>
    <w:lvl w:ilvl="0" w:tplc="04090001">
      <w:start w:val="1"/>
      <w:numFmt w:val="bullet"/>
      <w:lvlText w:val=""/>
      <w:lvlJc w:val="left"/>
      <w:pPr>
        <w:ind w:left="16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24" w15:restartNumberingAfterBreak="0">
    <w:nsid w:val="5FFB6F78"/>
    <w:multiLevelType w:val="hybridMultilevel"/>
    <w:tmpl w:val="5B2AE0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21E58EA"/>
    <w:multiLevelType w:val="hybridMultilevel"/>
    <w:tmpl w:val="37EA74E4"/>
    <w:lvl w:ilvl="0" w:tplc="D996FBFA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62C7FC9"/>
    <w:multiLevelType w:val="hybridMultilevel"/>
    <w:tmpl w:val="AE48A0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8C75B87"/>
    <w:multiLevelType w:val="hybridMultilevel"/>
    <w:tmpl w:val="24FC2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8FB3942"/>
    <w:multiLevelType w:val="hybridMultilevel"/>
    <w:tmpl w:val="5C00E20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A104057"/>
    <w:multiLevelType w:val="hybridMultilevel"/>
    <w:tmpl w:val="066CC5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A534496"/>
    <w:multiLevelType w:val="hybridMultilevel"/>
    <w:tmpl w:val="3B907A74"/>
    <w:lvl w:ilvl="0" w:tplc="04090001">
      <w:start w:val="1"/>
      <w:numFmt w:val="bullet"/>
      <w:lvlText w:val=""/>
      <w:lvlJc w:val="left"/>
      <w:pPr>
        <w:ind w:left="75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31" w15:restartNumberingAfterBreak="0">
    <w:nsid w:val="6C415273"/>
    <w:multiLevelType w:val="hybridMultilevel"/>
    <w:tmpl w:val="92008250"/>
    <w:lvl w:ilvl="0" w:tplc="04090001">
      <w:start w:val="1"/>
      <w:numFmt w:val="bullet"/>
      <w:lvlText w:val=""/>
      <w:lvlJc w:val="left"/>
      <w:pPr>
        <w:ind w:left="157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5" w:hanging="360"/>
      </w:pPr>
      <w:rPr>
        <w:rFonts w:ascii="Wingdings" w:hAnsi="Wingdings" w:hint="default"/>
      </w:rPr>
    </w:lvl>
  </w:abstractNum>
  <w:abstractNum w:abstractNumId="32" w15:restartNumberingAfterBreak="0">
    <w:nsid w:val="6C5548DB"/>
    <w:multiLevelType w:val="hybridMultilevel"/>
    <w:tmpl w:val="7CBCAC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01E6C68"/>
    <w:multiLevelType w:val="hybridMultilevel"/>
    <w:tmpl w:val="66AA05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5905E51"/>
    <w:multiLevelType w:val="hybridMultilevel"/>
    <w:tmpl w:val="92E27B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6706816"/>
    <w:multiLevelType w:val="hybridMultilevel"/>
    <w:tmpl w:val="4748040E"/>
    <w:lvl w:ilvl="0" w:tplc="8976E65E">
      <w:start w:val="1"/>
      <w:numFmt w:val="decimal"/>
      <w:lvlText w:val="%1."/>
      <w:lvlJc w:val="left"/>
      <w:pPr>
        <w:ind w:left="121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35" w:hanging="360"/>
      </w:pPr>
    </w:lvl>
    <w:lvl w:ilvl="2" w:tplc="0409001B" w:tentative="1">
      <w:start w:val="1"/>
      <w:numFmt w:val="lowerRoman"/>
      <w:lvlText w:val="%3."/>
      <w:lvlJc w:val="right"/>
      <w:pPr>
        <w:ind w:left="2655" w:hanging="180"/>
      </w:pPr>
    </w:lvl>
    <w:lvl w:ilvl="3" w:tplc="0409000F" w:tentative="1">
      <w:start w:val="1"/>
      <w:numFmt w:val="decimal"/>
      <w:lvlText w:val="%4."/>
      <w:lvlJc w:val="left"/>
      <w:pPr>
        <w:ind w:left="3375" w:hanging="360"/>
      </w:pPr>
    </w:lvl>
    <w:lvl w:ilvl="4" w:tplc="04090019" w:tentative="1">
      <w:start w:val="1"/>
      <w:numFmt w:val="lowerLetter"/>
      <w:lvlText w:val="%5."/>
      <w:lvlJc w:val="left"/>
      <w:pPr>
        <w:ind w:left="4095" w:hanging="360"/>
      </w:pPr>
    </w:lvl>
    <w:lvl w:ilvl="5" w:tplc="0409001B" w:tentative="1">
      <w:start w:val="1"/>
      <w:numFmt w:val="lowerRoman"/>
      <w:lvlText w:val="%6."/>
      <w:lvlJc w:val="right"/>
      <w:pPr>
        <w:ind w:left="4815" w:hanging="180"/>
      </w:pPr>
    </w:lvl>
    <w:lvl w:ilvl="6" w:tplc="0409000F" w:tentative="1">
      <w:start w:val="1"/>
      <w:numFmt w:val="decimal"/>
      <w:lvlText w:val="%7."/>
      <w:lvlJc w:val="left"/>
      <w:pPr>
        <w:ind w:left="5535" w:hanging="360"/>
      </w:pPr>
    </w:lvl>
    <w:lvl w:ilvl="7" w:tplc="04090019" w:tentative="1">
      <w:start w:val="1"/>
      <w:numFmt w:val="lowerLetter"/>
      <w:lvlText w:val="%8."/>
      <w:lvlJc w:val="left"/>
      <w:pPr>
        <w:ind w:left="6255" w:hanging="360"/>
      </w:pPr>
    </w:lvl>
    <w:lvl w:ilvl="8" w:tplc="0409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36" w15:restartNumberingAfterBreak="0">
    <w:nsid w:val="79307425"/>
    <w:multiLevelType w:val="hybridMultilevel"/>
    <w:tmpl w:val="E9E0BC06"/>
    <w:lvl w:ilvl="0" w:tplc="FB9083E2">
      <w:start w:val="1"/>
      <w:numFmt w:val="decimal"/>
      <w:lvlText w:val="(%1)"/>
      <w:lvlJc w:val="left"/>
      <w:pPr>
        <w:ind w:left="1551" w:hanging="98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7" w15:restartNumberingAfterBreak="0">
    <w:nsid w:val="7A2C2E60"/>
    <w:multiLevelType w:val="hybridMultilevel"/>
    <w:tmpl w:val="B86485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B7C209A"/>
    <w:multiLevelType w:val="hybridMultilevel"/>
    <w:tmpl w:val="ECD06784"/>
    <w:lvl w:ilvl="0" w:tplc="04090001">
      <w:start w:val="1"/>
      <w:numFmt w:val="bullet"/>
      <w:lvlText w:val=""/>
      <w:lvlJc w:val="left"/>
      <w:pPr>
        <w:ind w:left="193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65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7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9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1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3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5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7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92" w:hanging="360"/>
      </w:pPr>
      <w:rPr>
        <w:rFonts w:ascii="Wingdings" w:hAnsi="Wingdings" w:hint="default"/>
      </w:rPr>
    </w:lvl>
  </w:abstractNum>
  <w:abstractNum w:abstractNumId="39" w15:restartNumberingAfterBreak="0">
    <w:nsid w:val="7DF33175"/>
    <w:multiLevelType w:val="hybridMultilevel"/>
    <w:tmpl w:val="833C3D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E8513E9"/>
    <w:multiLevelType w:val="hybridMultilevel"/>
    <w:tmpl w:val="DCAA1F7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2"/>
  </w:num>
  <w:num w:numId="3">
    <w:abstractNumId w:val="29"/>
  </w:num>
  <w:num w:numId="4">
    <w:abstractNumId w:val="4"/>
  </w:num>
  <w:num w:numId="5">
    <w:abstractNumId w:val="19"/>
  </w:num>
  <w:num w:numId="6">
    <w:abstractNumId w:val="10"/>
  </w:num>
  <w:num w:numId="7">
    <w:abstractNumId w:val="11"/>
  </w:num>
  <w:num w:numId="8">
    <w:abstractNumId w:val="18"/>
  </w:num>
  <w:num w:numId="9">
    <w:abstractNumId w:val="9"/>
  </w:num>
  <w:num w:numId="10">
    <w:abstractNumId w:val="36"/>
  </w:num>
  <w:num w:numId="11">
    <w:abstractNumId w:val="40"/>
  </w:num>
  <w:num w:numId="1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2"/>
  </w:num>
  <w:num w:numId="14">
    <w:abstractNumId w:val="37"/>
  </w:num>
  <w:num w:numId="15">
    <w:abstractNumId w:val="5"/>
  </w:num>
  <w:num w:numId="16">
    <w:abstractNumId w:val="14"/>
  </w:num>
  <w:num w:numId="17">
    <w:abstractNumId w:val="24"/>
  </w:num>
  <w:num w:numId="18">
    <w:abstractNumId w:val="0"/>
  </w:num>
  <w:num w:numId="19">
    <w:abstractNumId w:val="28"/>
  </w:num>
  <w:num w:numId="20">
    <w:abstractNumId w:val="34"/>
  </w:num>
  <w:num w:numId="21">
    <w:abstractNumId w:val="3"/>
  </w:num>
  <w:num w:numId="22">
    <w:abstractNumId w:val="33"/>
  </w:num>
  <w:num w:numId="23">
    <w:abstractNumId w:val="35"/>
  </w:num>
  <w:num w:numId="24">
    <w:abstractNumId w:val="31"/>
  </w:num>
  <w:num w:numId="25">
    <w:abstractNumId w:val="23"/>
  </w:num>
  <w:num w:numId="26">
    <w:abstractNumId w:val="12"/>
  </w:num>
  <w:num w:numId="27">
    <w:abstractNumId w:val="30"/>
  </w:num>
  <w:num w:numId="28">
    <w:abstractNumId w:val="17"/>
  </w:num>
  <w:num w:numId="29">
    <w:abstractNumId w:val="38"/>
  </w:num>
  <w:num w:numId="30">
    <w:abstractNumId w:val="20"/>
  </w:num>
  <w:num w:numId="31">
    <w:abstractNumId w:val="26"/>
  </w:num>
  <w:num w:numId="32">
    <w:abstractNumId w:val="27"/>
  </w:num>
  <w:num w:numId="33">
    <w:abstractNumId w:val="39"/>
  </w:num>
  <w:num w:numId="34">
    <w:abstractNumId w:val="21"/>
  </w:num>
  <w:num w:numId="35">
    <w:abstractNumId w:val="2"/>
  </w:num>
  <w:num w:numId="36">
    <w:abstractNumId w:val="6"/>
  </w:num>
  <w:num w:numId="37">
    <w:abstractNumId w:val="8"/>
  </w:num>
  <w:num w:numId="38">
    <w:abstractNumId w:val="13"/>
  </w:num>
  <w:num w:numId="39">
    <w:abstractNumId w:val="1"/>
  </w:num>
  <w:num w:numId="40">
    <w:abstractNumId w:val="16"/>
  </w:num>
  <w:num w:numId="4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019"/>
    <w:rsid w:val="0000208C"/>
    <w:rsid w:val="00002A28"/>
    <w:rsid w:val="00002CC1"/>
    <w:rsid w:val="00004738"/>
    <w:rsid w:val="00004D27"/>
    <w:rsid w:val="00007A31"/>
    <w:rsid w:val="000101F6"/>
    <w:rsid w:val="00012D8E"/>
    <w:rsid w:val="000164F6"/>
    <w:rsid w:val="00021108"/>
    <w:rsid w:val="00021629"/>
    <w:rsid w:val="000232D5"/>
    <w:rsid w:val="000245E2"/>
    <w:rsid w:val="0003126A"/>
    <w:rsid w:val="0003134D"/>
    <w:rsid w:val="0003192A"/>
    <w:rsid w:val="00031DCC"/>
    <w:rsid w:val="00033470"/>
    <w:rsid w:val="00035EC9"/>
    <w:rsid w:val="00045DE3"/>
    <w:rsid w:val="000517D5"/>
    <w:rsid w:val="00051A1E"/>
    <w:rsid w:val="00052D19"/>
    <w:rsid w:val="00053FD5"/>
    <w:rsid w:val="00054920"/>
    <w:rsid w:val="00054996"/>
    <w:rsid w:val="000553C5"/>
    <w:rsid w:val="00055AE4"/>
    <w:rsid w:val="00056ADA"/>
    <w:rsid w:val="000606D3"/>
    <w:rsid w:val="0006094A"/>
    <w:rsid w:val="00061099"/>
    <w:rsid w:val="00061C44"/>
    <w:rsid w:val="00061DF2"/>
    <w:rsid w:val="000654A8"/>
    <w:rsid w:val="0007230C"/>
    <w:rsid w:val="00073231"/>
    <w:rsid w:val="0007350E"/>
    <w:rsid w:val="00073DF6"/>
    <w:rsid w:val="00075D6B"/>
    <w:rsid w:val="00076AA5"/>
    <w:rsid w:val="00076FA6"/>
    <w:rsid w:val="0007764E"/>
    <w:rsid w:val="00080646"/>
    <w:rsid w:val="00082D3B"/>
    <w:rsid w:val="00082FD3"/>
    <w:rsid w:val="00091330"/>
    <w:rsid w:val="00091E1A"/>
    <w:rsid w:val="000947C3"/>
    <w:rsid w:val="00095193"/>
    <w:rsid w:val="000965B0"/>
    <w:rsid w:val="00096B52"/>
    <w:rsid w:val="000A2947"/>
    <w:rsid w:val="000A4DEB"/>
    <w:rsid w:val="000A602D"/>
    <w:rsid w:val="000B258B"/>
    <w:rsid w:val="000B2D13"/>
    <w:rsid w:val="000B3209"/>
    <w:rsid w:val="000B3898"/>
    <w:rsid w:val="000B4FF6"/>
    <w:rsid w:val="000B5C73"/>
    <w:rsid w:val="000B69A6"/>
    <w:rsid w:val="000B7F7B"/>
    <w:rsid w:val="000C1459"/>
    <w:rsid w:val="000C31F2"/>
    <w:rsid w:val="000C3664"/>
    <w:rsid w:val="000C3B0E"/>
    <w:rsid w:val="000C45B9"/>
    <w:rsid w:val="000C5722"/>
    <w:rsid w:val="000C6C9E"/>
    <w:rsid w:val="000C6D7C"/>
    <w:rsid w:val="000D180D"/>
    <w:rsid w:val="000D20F9"/>
    <w:rsid w:val="000D5083"/>
    <w:rsid w:val="000D75CF"/>
    <w:rsid w:val="000D7868"/>
    <w:rsid w:val="000E30A5"/>
    <w:rsid w:val="000E3581"/>
    <w:rsid w:val="000E3637"/>
    <w:rsid w:val="000E434B"/>
    <w:rsid w:val="000E5D79"/>
    <w:rsid w:val="000E7125"/>
    <w:rsid w:val="000F4DA3"/>
    <w:rsid w:val="000F59CE"/>
    <w:rsid w:val="000F643C"/>
    <w:rsid w:val="000F6B7B"/>
    <w:rsid w:val="00101AC6"/>
    <w:rsid w:val="001043FC"/>
    <w:rsid w:val="00105C6B"/>
    <w:rsid w:val="0010623D"/>
    <w:rsid w:val="0011000E"/>
    <w:rsid w:val="001105B3"/>
    <w:rsid w:val="00110DED"/>
    <w:rsid w:val="001121BA"/>
    <w:rsid w:val="00113343"/>
    <w:rsid w:val="00117100"/>
    <w:rsid w:val="0011716A"/>
    <w:rsid w:val="00117B20"/>
    <w:rsid w:val="00122557"/>
    <w:rsid w:val="00122BD3"/>
    <w:rsid w:val="00123391"/>
    <w:rsid w:val="001240E7"/>
    <w:rsid w:val="00127C6C"/>
    <w:rsid w:val="00134588"/>
    <w:rsid w:val="00134F3D"/>
    <w:rsid w:val="00135731"/>
    <w:rsid w:val="0013779C"/>
    <w:rsid w:val="00142E9B"/>
    <w:rsid w:val="00143C12"/>
    <w:rsid w:val="00146C4D"/>
    <w:rsid w:val="00146D92"/>
    <w:rsid w:val="001502F3"/>
    <w:rsid w:val="0015163F"/>
    <w:rsid w:val="00154BE8"/>
    <w:rsid w:val="00157467"/>
    <w:rsid w:val="001609C0"/>
    <w:rsid w:val="00160C72"/>
    <w:rsid w:val="00167343"/>
    <w:rsid w:val="001673A2"/>
    <w:rsid w:val="00167D1E"/>
    <w:rsid w:val="001710CB"/>
    <w:rsid w:val="00172167"/>
    <w:rsid w:val="0017303F"/>
    <w:rsid w:val="001739A0"/>
    <w:rsid w:val="001762CF"/>
    <w:rsid w:val="00180C5F"/>
    <w:rsid w:val="00184135"/>
    <w:rsid w:val="0018426B"/>
    <w:rsid w:val="00184F6B"/>
    <w:rsid w:val="00186790"/>
    <w:rsid w:val="0019056B"/>
    <w:rsid w:val="001907A1"/>
    <w:rsid w:val="0019396D"/>
    <w:rsid w:val="00197431"/>
    <w:rsid w:val="001A039E"/>
    <w:rsid w:val="001A3B5F"/>
    <w:rsid w:val="001A5510"/>
    <w:rsid w:val="001A7E21"/>
    <w:rsid w:val="001B11B0"/>
    <w:rsid w:val="001B1316"/>
    <w:rsid w:val="001B5394"/>
    <w:rsid w:val="001B639D"/>
    <w:rsid w:val="001B6D70"/>
    <w:rsid w:val="001C0C3B"/>
    <w:rsid w:val="001C43EB"/>
    <w:rsid w:val="001C4A1E"/>
    <w:rsid w:val="001C7844"/>
    <w:rsid w:val="001D1F48"/>
    <w:rsid w:val="001D436C"/>
    <w:rsid w:val="001E143B"/>
    <w:rsid w:val="001E162E"/>
    <w:rsid w:val="001E5B2C"/>
    <w:rsid w:val="001E5E4B"/>
    <w:rsid w:val="001E75EE"/>
    <w:rsid w:val="001F2B57"/>
    <w:rsid w:val="001F3118"/>
    <w:rsid w:val="001F5630"/>
    <w:rsid w:val="001F69E2"/>
    <w:rsid w:val="0020020E"/>
    <w:rsid w:val="00200742"/>
    <w:rsid w:val="00202C45"/>
    <w:rsid w:val="0020531C"/>
    <w:rsid w:val="00205C0E"/>
    <w:rsid w:val="00210122"/>
    <w:rsid w:val="00210C7D"/>
    <w:rsid w:val="002129AF"/>
    <w:rsid w:val="00214EF3"/>
    <w:rsid w:val="0021523B"/>
    <w:rsid w:val="00220E53"/>
    <w:rsid w:val="00222805"/>
    <w:rsid w:val="002250A5"/>
    <w:rsid w:val="002251FF"/>
    <w:rsid w:val="00230D2F"/>
    <w:rsid w:val="002314C8"/>
    <w:rsid w:val="002323CA"/>
    <w:rsid w:val="002375A3"/>
    <w:rsid w:val="00240477"/>
    <w:rsid w:val="00241030"/>
    <w:rsid w:val="00252150"/>
    <w:rsid w:val="00253911"/>
    <w:rsid w:val="00254770"/>
    <w:rsid w:val="00255FDA"/>
    <w:rsid w:val="00257E5C"/>
    <w:rsid w:val="00262FEC"/>
    <w:rsid w:val="00266E71"/>
    <w:rsid w:val="002712A0"/>
    <w:rsid w:val="00272CB6"/>
    <w:rsid w:val="00273276"/>
    <w:rsid w:val="00275A55"/>
    <w:rsid w:val="00277725"/>
    <w:rsid w:val="00277CF0"/>
    <w:rsid w:val="0028077F"/>
    <w:rsid w:val="002809A7"/>
    <w:rsid w:val="00280BB8"/>
    <w:rsid w:val="00280BF3"/>
    <w:rsid w:val="00285E86"/>
    <w:rsid w:val="00285E8B"/>
    <w:rsid w:val="002878B0"/>
    <w:rsid w:val="0029018B"/>
    <w:rsid w:val="00290358"/>
    <w:rsid w:val="00290806"/>
    <w:rsid w:val="00293755"/>
    <w:rsid w:val="00293B5B"/>
    <w:rsid w:val="00296E3B"/>
    <w:rsid w:val="0029709F"/>
    <w:rsid w:val="00297CB1"/>
    <w:rsid w:val="002A402F"/>
    <w:rsid w:val="002A4510"/>
    <w:rsid w:val="002A6EAD"/>
    <w:rsid w:val="002B666E"/>
    <w:rsid w:val="002C097F"/>
    <w:rsid w:val="002C5D09"/>
    <w:rsid w:val="002C5EC9"/>
    <w:rsid w:val="002C6506"/>
    <w:rsid w:val="002D3E33"/>
    <w:rsid w:val="002D4F57"/>
    <w:rsid w:val="002D6317"/>
    <w:rsid w:val="002D7813"/>
    <w:rsid w:val="002D7D0C"/>
    <w:rsid w:val="002D7F10"/>
    <w:rsid w:val="002E12B0"/>
    <w:rsid w:val="002E27F1"/>
    <w:rsid w:val="002E281B"/>
    <w:rsid w:val="002E356E"/>
    <w:rsid w:val="002E3BDB"/>
    <w:rsid w:val="002E49F8"/>
    <w:rsid w:val="002E57D1"/>
    <w:rsid w:val="002E7306"/>
    <w:rsid w:val="002F0884"/>
    <w:rsid w:val="002F0A62"/>
    <w:rsid w:val="002F39D7"/>
    <w:rsid w:val="002F405E"/>
    <w:rsid w:val="002F4A80"/>
    <w:rsid w:val="002F7804"/>
    <w:rsid w:val="002F78B1"/>
    <w:rsid w:val="00300626"/>
    <w:rsid w:val="003006C1"/>
    <w:rsid w:val="003016E4"/>
    <w:rsid w:val="00301C5F"/>
    <w:rsid w:val="00302008"/>
    <w:rsid w:val="003035E6"/>
    <w:rsid w:val="00304052"/>
    <w:rsid w:val="00305650"/>
    <w:rsid w:val="00305983"/>
    <w:rsid w:val="0031017C"/>
    <w:rsid w:val="00311773"/>
    <w:rsid w:val="00312E87"/>
    <w:rsid w:val="003151E0"/>
    <w:rsid w:val="00317040"/>
    <w:rsid w:val="003211A6"/>
    <w:rsid w:val="00323019"/>
    <w:rsid w:val="00323C28"/>
    <w:rsid w:val="00325E11"/>
    <w:rsid w:val="00334A2C"/>
    <w:rsid w:val="00334B73"/>
    <w:rsid w:val="0033716A"/>
    <w:rsid w:val="00337D05"/>
    <w:rsid w:val="0034138F"/>
    <w:rsid w:val="003415CA"/>
    <w:rsid w:val="0034223E"/>
    <w:rsid w:val="003424D1"/>
    <w:rsid w:val="00346367"/>
    <w:rsid w:val="00347B3A"/>
    <w:rsid w:val="0035355A"/>
    <w:rsid w:val="00354C94"/>
    <w:rsid w:val="00355133"/>
    <w:rsid w:val="00361ECB"/>
    <w:rsid w:val="00364C4D"/>
    <w:rsid w:val="0036583E"/>
    <w:rsid w:val="003659F9"/>
    <w:rsid w:val="00371317"/>
    <w:rsid w:val="00371D84"/>
    <w:rsid w:val="00376807"/>
    <w:rsid w:val="003776B3"/>
    <w:rsid w:val="00377F07"/>
    <w:rsid w:val="00380556"/>
    <w:rsid w:val="00380FF8"/>
    <w:rsid w:val="00384D7C"/>
    <w:rsid w:val="00385AC7"/>
    <w:rsid w:val="00385C35"/>
    <w:rsid w:val="00393CBF"/>
    <w:rsid w:val="003958B0"/>
    <w:rsid w:val="003A13A0"/>
    <w:rsid w:val="003A37C0"/>
    <w:rsid w:val="003A3BCF"/>
    <w:rsid w:val="003A4B85"/>
    <w:rsid w:val="003A50B5"/>
    <w:rsid w:val="003A7D39"/>
    <w:rsid w:val="003A7FCD"/>
    <w:rsid w:val="003B2D68"/>
    <w:rsid w:val="003B48C6"/>
    <w:rsid w:val="003B571F"/>
    <w:rsid w:val="003B60E0"/>
    <w:rsid w:val="003B6EFC"/>
    <w:rsid w:val="003B78D5"/>
    <w:rsid w:val="003B7D1B"/>
    <w:rsid w:val="003C04B5"/>
    <w:rsid w:val="003C196E"/>
    <w:rsid w:val="003C1F2F"/>
    <w:rsid w:val="003C23B6"/>
    <w:rsid w:val="003C5670"/>
    <w:rsid w:val="003C6BC3"/>
    <w:rsid w:val="003C6EF7"/>
    <w:rsid w:val="003D4E6A"/>
    <w:rsid w:val="003D5731"/>
    <w:rsid w:val="003D6045"/>
    <w:rsid w:val="003D6734"/>
    <w:rsid w:val="003D677C"/>
    <w:rsid w:val="003E3FE7"/>
    <w:rsid w:val="003E577B"/>
    <w:rsid w:val="003E5B07"/>
    <w:rsid w:val="003E5B32"/>
    <w:rsid w:val="003E5D60"/>
    <w:rsid w:val="003F0D49"/>
    <w:rsid w:val="003F1A8D"/>
    <w:rsid w:val="003F31CA"/>
    <w:rsid w:val="003F6756"/>
    <w:rsid w:val="003F6847"/>
    <w:rsid w:val="0040099F"/>
    <w:rsid w:val="0040134E"/>
    <w:rsid w:val="0040726D"/>
    <w:rsid w:val="004136A4"/>
    <w:rsid w:val="004146D6"/>
    <w:rsid w:val="0042261B"/>
    <w:rsid w:val="00423920"/>
    <w:rsid w:val="00424599"/>
    <w:rsid w:val="004253CA"/>
    <w:rsid w:val="00426807"/>
    <w:rsid w:val="004268A2"/>
    <w:rsid w:val="004273A7"/>
    <w:rsid w:val="00430154"/>
    <w:rsid w:val="004348A4"/>
    <w:rsid w:val="00434B65"/>
    <w:rsid w:val="004356D2"/>
    <w:rsid w:val="00440479"/>
    <w:rsid w:val="00440EF9"/>
    <w:rsid w:val="00441E35"/>
    <w:rsid w:val="004422C1"/>
    <w:rsid w:val="0044584B"/>
    <w:rsid w:val="00445D8B"/>
    <w:rsid w:val="00450AE9"/>
    <w:rsid w:val="00454BC7"/>
    <w:rsid w:val="00455013"/>
    <w:rsid w:val="00455B34"/>
    <w:rsid w:val="004562A9"/>
    <w:rsid w:val="004568F2"/>
    <w:rsid w:val="00456F5C"/>
    <w:rsid w:val="004571A7"/>
    <w:rsid w:val="00460373"/>
    <w:rsid w:val="00460986"/>
    <w:rsid w:val="00460E79"/>
    <w:rsid w:val="00461CA5"/>
    <w:rsid w:val="004679B7"/>
    <w:rsid w:val="00471C79"/>
    <w:rsid w:val="004725C5"/>
    <w:rsid w:val="004757B7"/>
    <w:rsid w:val="004765D6"/>
    <w:rsid w:val="0047701B"/>
    <w:rsid w:val="00477114"/>
    <w:rsid w:val="00477845"/>
    <w:rsid w:val="004865A9"/>
    <w:rsid w:val="004865BB"/>
    <w:rsid w:val="00487BA9"/>
    <w:rsid w:val="004909A8"/>
    <w:rsid w:val="00491C98"/>
    <w:rsid w:val="00493152"/>
    <w:rsid w:val="0049336F"/>
    <w:rsid w:val="004936B3"/>
    <w:rsid w:val="00493D37"/>
    <w:rsid w:val="004955E1"/>
    <w:rsid w:val="004955F5"/>
    <w:rsid w:val="0049581C"/>
    <w:rsid w:val="00496EE6"/>
    <w:rsid w:val="004978E9"/>
    <w:rsid w:val="004A2CF9"/>
    <w:rsid w:val="004A3708"/>
    <w:rsid w:val="004A4345"/>
    <w:rsid w:val="004A5C75"/>
    <w:rsid w:val="004A655A"/>
    <w:rsid w:val="004A6C93"/>
    <w:rsid w:val="004A7AB2"/>
    <w:rsid w:val="004A7C0C"/>
    <w:rsid w:val="004B223D"/>
    <w:rsid w:val="004B5975"/>
    <w:rsid w:val="004B760F"/>
    <w:rsid w:val="004B7FE3"/>
    <w:rsid w:val="004C4B53"/>
    <w:rsid w:val="004C5130"/>
    <w:rsid w:val="004C64E9"/>
    <w:rsid w:val="004C7AD3"/>
    <w:rsid w:val="004C7E39"/>
    <w:rsid w:val="004C7FD8"/>
    <w:rsid w:val="004D003E"/>
    <w:rsid w:val="004D011C"/>
    <w:rsid w:val="004D0221"/>
    <w:rsid w:val="004D39B1"/>
    <w:rsid w:val="004D516F"/>
    <w:rsid w:val="004D7C34"/>
    <w:rsid w:val="004E1748"/>
    <w:rsid w:val="004E210F"/>
    <w:rsid w:val="004E2698"/>
    <w:rsid w:val="004E34AC"/>
    <w:rsid w:val="004E49C3"/>
    <w:rsid w:val="004E6045"/>
    <w:rsid w:val="004F029F"/>
    <w:rsid w:val="004F40FF"/>
    <w:rsid w:val="004F4825"/>
    <w:rsid w:val="004F743B"/>
    <w:rsid w:val="004F7F41"/>
    <w:rsid w:val="00500115"/>
    <w:rsid w:val="0050149A"/>
    <w:rsid w:val="00501618"/>
    <w:rsid w:val="00501FCB"/>
    <w:rsid w:val="005029CE"/>
    <w:rsid w:val="005052F9"/>
    <w:rsid w:val="0051095F"/>
    <w:rsid w:val="00510D3D"/>
    <w:rsid w:val="005148E6"/>
    <w:rsid w:val="00514F65"/>
    <w:rsid w:val="00515D38"/>
    <w:rsid w:val="00521F79"/>
    <w:rsid w:val="00522416"/>
    <w:rsid w:val="00523ABD"/>
    <w:rsid w:val="005243D4"/>
    <w:rsid w:val="005249E4"/>
    <w:rsid w:val="00524CDB"/>
    <w:rsid w:val="005308EE"/>
    <w:rsid w:val="0053117D"/>
    <w:rsid w:val="005313D1"/>
    <w:rsid w:val="00534EF2"/>
    <w:rsid w:val="0053538D"/>
    <w:rsid w:val="00536A77"/>
    <w:rsid w:val="005407C6"/>
    <w:rsid w:val="0054087E"/>
    <w:rsid w:val="00540A00"/>
    <w:rsid w:val="005416BF"/>
    <w:rsid w:val="00543A4A"/>
    <w:rsid w:val="00543EBD"/>
    <w:rsid w:val="00544805"/>
    <w:rsid w:val="00545896"/>
    <w:rsid w:val="00545A5A"/>
    <w:rsid w:val="00546E61"/>
    <w:rsid w:val="005508C3"/>
    <w:rsid w:val="00550989"/>
    <w:rsid w:val="00555CE0"/>
    <w:rsid w:val="0055630A"/>
    <w:rsid w:val="0055784F"/>
    <w:rsid w:val="0056043F"/>
    <w:rsid w:val="00560C64"/>
    <w:rsid w:val="00560DA5"/>
    <w:rsid w:val="005632A7"/>
    <w:rsid w:val="0056387A"/>
    <w:rsid w:val="00565DE5"/>
    <w:rsid w:val="0057029A"/>
    <w:rsid w:val="00570BA8"/>
    <w:rsid w:val="00571C46"/>
    <w:rsid w:val="0057284D"/>
    <w:rsid w:val="00576BBA"/>
    <w:rsid w:val="0058037D"/>
    <w:rsid w:val="00581666"/>
    <w:rsid w:val="00582370"/>
    <w:rsid w:val="0058300B"/>
    <w:rsid w:val="00585115"/>
    <w:rsid w:val="00587BBD"/>
    <w:rsid w:val="00591560"/>
    <w:rsid w:val="0059280F"/>
    <w:rsid w:val="005936D5"/>
    <w:rsid w:val="005955BF"/>
    <w:rsid w:val="00595C5E"/>
    <w:rsid w:val="00596E28"/>
    <w:rsid w:val="005A0316"/>
    <w:rsid w:val="005A2814"/>
    <w:rsid w:val="005A30D6"/>
    <w:rsid w:val="005A4359"/>
    <w:rsid w:val="005A4B04"/>
    <w:rsid w:val="005A5159"/>
    <w:rsid w:val="005A56DB"/>
    <w:rsid w:val="005A669F"/>
    <w:rsid w:val="005B07E9"/>
    <w:rsid w:val="005B083E"/>
    <w:rsid w:val="005B0AC5"/>
    <w:rsid w:val="005B2025"/>
    <w:rsid w:val="005B262C"/>
    <w:rsid w:val="005B3498"/>
    <w:rsid w:val="005B4871"/>
    <w:rsid w:val="005C06E0"/>
    <w:rsid w:val="005C1A69"/>
    <w:rsid w:val="005C249F"/>
    <w:rsid w:val="005C56D7"/>
    <w:rsid w:val="005C6404"/>
    <w:rsid w:val="005D03D1"/>
    <w:rsid w:val="005D1943"/>
    <w:rsid w:val="005E075E"/>
    <w:rsid w:val="005E105D"/>
    <w:rsid w:val="005E108E"/>
    <w:rsid w:val="005E2030"/>
    <w:rsid w:val="005E2D6B"/>
    <w:rsid w:val="005E33A9"/>
    <w:rsid w:val="005E4C8E"/>
    <w:rsid w:val="005F0A09"/>
    <w:rsid w:val="005F413E"/>
    <w:rsid w:val="005F77D3"/>
    <w:rsid w:val="00601681"/>
    <w:rsid w:val="0060250B"/>
    <w:rsid w:val="006042BD"/>
    <w:rsid w:val="006058A2"/>
    <w:rsid w:val="00606445"/>
    <w:rsid w:val="00606BC4"/>
    <w:rsid w:val="00607EF1"/>
    <w:rsid w:val="006118AE"/>
    <w:rsid w:val="00611CB1"/>
    <w:rsid w:val="00611FBF"/>
    <w:rsid w:val="006121EA"/>
    <w:rsid w:val="00612DCA"/>
    <w:rsid w:val="00612E49"/>
    <w:rsid w:val="00612EAC"/>
    <w:rsid w:val="00613B6C"/>
    <w:rsid w:val="006162A7"/>
    <w:rsid w:val="006163F6"/>
    <w:rsid w:val="006169CD"/>
    <w:rsid w:val="0061799D"/>
    <w:rsid w:val="00617E69"/>
    <w:rsid w:val="00620B22"/>
    <w:rsid w:val="00624E1E"/>
    <w:rsid w:val="006266F5"/>
    <w:rsid w:val="00627446"/>
    <w:rsid w:val="006312D5"/>
    <w:rsid w:val="00634009"/>
    <w:rsid w:val="00634548"/>
    <w:rsid w:val="006358C5"/>
    <w:rsid w:val="0063613B"/>
    <w:rsid w:val="006423C6"/>
    <w:rsid w:val="00650E4E"/>
    <w:rsid w:val="00657144"/>
    <w:rsid w:val="0066052E"/>
    <w:rsid w:val="00663DDC"/>
    <w:rsid w:val="00666822"/>
    <w:rsid w:val="006673E4"/>
    <w:rsid w:val="00667B3F"/>
    <w:rsid w:val="006733FB"/>
    <w:rsid w:val="0067526C"/>
    <w:rsid w:val="006753C9"/>
    <w:rsid w:val="00675424"/>
    <w:rsid w:val="00676232"/>
    <w:rsid w:val="00680B45"/>
    <w:rsid w:val="006813E5"/>
    <w:rsid w:val="006825BB"/>
    <w:rsid w:val="00682697"/>
    <w:rsid w:val="00682E12"/>
    <w:rsid w:val="00684A2D"/>
    <w:rsid w:val="006903F9"/>
    <w:rsid w:val="00691B33"/>
    <w:rsid w:val="00691DA7"/>
    <w:rsid w:val="00692A8E"/>
    <w:rsid w:val="00696AEE"/>
    <w:rsid w:val="00696C5B"/>
    <w:rsid w:val="006A0979"/>
    <w:rsid w:val="006A09D1"/>
    <w:rsid w:val="006A15F6"/>
    <w:rsid w:val="006B2258"/>
    <w:rsid w:val="006B2421"/>
    <w:rsid w:val="006B2655"/>
    <w:rsid w:val="006B3225"/>
    <w:rsid w:val="006B5820"/>
    <w:rsid w:val="006B589B"/>
    <w:rsid w:val="006B5E0B"/>
    <w:rsid w:val="006B6861"/>
    <w:rsid w:val="006B7776"/>
    <w:rsid w:val="006C05DE"/>
    <w:rsid w:val="006C3B23"/>
    <w:rsid w:val="006C4730"/>
    <w:rsid w:val="006C5239"/>
    <w:rsid w:val="006C6102"/>
    <w:rsid w:val="006D3243"/>
    <w:rsid w:val="006D6600"/>
    <w:rsid w:val="006E2EB6"/>
    <w:rsid w:val="006E3923"/>
    <w:rsid w:val="006E51F8"/>
    <w:rsid w:val="006E620D"/>
    <w:rsid w:val="006E66A0"/>
    <w:rsid w:val="006F02E2"/>
    <w:rsid w:val="006F1805"/>
    <w:rsid w:val="006F4337"/>
    <w:rsid w:val="006F511C"/>
    <w:rsid w:val="006F742D"/>
    <w:rsid w:val="00703301"/>
    <w:rsid w:val="0070430F"/>
    <w:rsid w:val="00704633"/>
    <w:rsid w:val="00705CA6"/>
    <w:rsid w:val="00711429"/>
    <w:rsid w:val="00711935"/>
    <w:rsid w:val="00717828"/>
    <w:rsid w:val="00720BA8"/>
    <w:rsid w:val="007216F8"/>
    <w:rsid w:val="007222FF"/>
    <w:rsid w:val="00723DDF"/>
    <w:rsid w:val="0072592F"/>
    <w:rsid w:val="00726F58"/>
    <w:rsid w:val="00727C4B"/>
    <w:rsid w:val="00730165"/>
    <w:rsid w:val="007302CA"/>
    <w:rsid w:val="00732859"/>
    <w:rsid w:val="0073452B"/>
    <w:rsid w:val="00736DC4"/>
    <w:rsid w:val="00737871"/>
    <w:rsid w:val="00742EA7"/>
    <w:rsid w:val="00743ABF"/>
    <w:rsid w:val="00743B50"/>
    <w:rsid w:val="007471BE"/>
    <w:rsid w:val="00750E42"/>
    <w:rsid w:val="0075220E"/>
    <w:rsid w:val="00753032"/>
    <w:rsid w:val="00753497"/>
    <w:rsid w:val="00755768"/>
    <w:rsid w:val="0075674A"/>
    <w:rsid w:val="00762D2B"/>
    <w:rsid w:val="007637E4"/>
    <w:rsid w:val="00765394"/>
    <w:rsid w:val="00771356"/>
    <w:rsid w:val="00771FE0"/>
    <w:rsid w:val="00772398"/>
    <w:rsid w:val="00773613"/>
    <w:rsid w:val="00775CFB"/>
    <w:rsid w:val="0077602E"/>
    <w:rsid w:val="0077646C"/>
    <w:rsid w:val="00777CA6"/>
    <w:rsid w:val="00781230"/>
    <w:rsid w:val="00781982"/>
    <w:rsid w:val="00782680"/>
    <w:rsid w:val="007842C0"/>
    <w:rsid w:val="0078610F"/>
    <w:rsid w:val="007874DE"/>
    <w:rsid w:val="007909A1"/>
    <w:rsid w:val="00794FD4"/>
    <w:rsid w:val="0079564A"/>
    <w:rsid w:val="00795C0F"/>
    <w:rsid w:val="007A017A"/>
    <w:rsid w:val="007A276B"/>
    <w:rsid w:val="007A4B38"/>
    <w:rsid w:val="007A565E"/>
    <w:rsid w:val="007A7B5F"/>
    <w:rsid w:val="007A7DAA"/>
    <w:rsid w:val="007B34F3"/>
    <w:rsid w:val="007B574E"/>
    <w:rsid w:val="007B5D3D"/>
    <w:rsid w:val="007B745E"/>
    <w:rsid w:val="007C138E"/>
    <w:rsid w:val="007C4D44"/>
    <w:rsid w:val="007C5C3A"/>
    <w:rsid w:val="007C6B8E"/>
    <w:rsid w:val="007C706A"/>
    <w:rsid w:val="007D573A"/>
    <w:rsid w:val="007D5D92"/>
    <w:rsid w:val="007D78AB"/>
    <w:rsid w:val="007E6F86"/>
    <w:rsid w:val="007E7B7B"/>
    <w:rsid w:val="007F07ED"/>
    <w:rsid w:val="007F0CB7"/>
    <w:rsid w:val="007F3FB2"/>
    <w:rsid w:val="007F4F8B"/>
    <w:rsid w:val="007F5C4D"/>
    <w:rsid w:val="007F7889"/>
    <w:rsid w:val="00800DE4"/>
    <w:rsid w:val="008021AF"/>
    <w:rsid w:val="0080234A"/>
    <w:rsid w:val="00804A53"/>
    <w:rsid w:val="008067ED"/>
    <w:rsid w:val="00807E7A"/>
    <w:rsid w:val="0081126E"/>
    <w:rsid w:val="00811CC3"/>
    <w:rsid w:val="00815B85"/>
    <w:rsid w:val="00816AAE"/>
    <w:rsid w:val="008241DD"/>
    <w:rsid w:val="00825BF3"/>
    <w:rsid w:val="00826496"/>
    <w:rsid w:val="00830904"/>
    <w:rsid w:val="00831E95"/>
    <w:rsid w:val="00835F6A"/>
    <w:rsid w:val="00836253"/>
    <w:rsid w:val="00837864"/>
    <w:rsid w:val="0084266E"/>
    <w:rsid w:val="008428E8"/>
    <w:rsid w:val="008461F8"/>
    <w:rsid w:val="00846F51"/>
    <w:rsid w:val="00847FD6"/>
    <w:rsid w:val="00851505"/>
    <w:rsid w:val="00851A12"/>
    <w:rsid w:val="00853E4A"/>
    <w:rsid w:val="0085754F"/>
    <w:rsid w:val="00857BFE"/>
    <w:rsid w:val="00857C0C"/>
    <w:rsid w:val="00857F2F"/>
    <w:rsid w:val="008600A2"/>
    <w:rsid w:val="008654AF"/>
    <w:rsid w:val="00867A3F"/>
    <w:rsid w:val="008700E8"/>
    <w:rsid w:val="00870BA3"/>
    <w:rsid w:val="00870EF9"/>
    <w:rsid w:val="00870FD0"/>
    <w:rsid w:val="008716CC"/>
    <w:rsid w:val="00872C04"/>
    <w:rsid w:val="008740BB"/>
    <w:rsid w:val="0087467D"/>
    <w:rsid w:val="00875588"/>
    <w:rsid w:val="00876555"/>
    <w:rsid w:val="00876E52"/>
    <w:rsid w:val="00877FF0"/>
    <w:rsid w:val="00891ECF"/>
    <w:rsid w:val="00893F3F"/>
    <w:rsid w:val="00895EA4"/>
    <w:rsid w:val="00896E51"/>
    <w:rsid w:val="0089770A"/>
    <w:rsid w:val="008B1164"/>
    <w:rsid w:val="008B22DD"/>
    <w:rsid w:val="008B36C5"/>
    <w:rsid w:val="008B3929"/>
    <w:rsid w:val="008B543B"/>
    <w:rsid w:val="008B6948"/>
    <w:rsid w:val="008C0D47"/>
    <w:rsid w:val="008C1272"/>
    <w:rsid w:val="008C1A0B"/>
    <w:rsid w:val="008C3042"/>
    <w:rsid w:val="008C3198"/>
    <w:rsid w:val="008C45D0"/>
    <w:rsid w:val="008C7343"/>
    <w:rsid w:val="008D0071"/>
    <w:rsid w:val="008D0242"/>
    <w:rsid w:val="008D1AD6"/>
    <w:rsid w:val="008D293D"/>
    <w:rsid w:val="008D3A8D"/>
    <w:rsid w:val="008D4729"/>
    <w:rsid w:val="008D52B8"/>
    <w:rsid w:val="008D5BA6"/>
    <w:rsid w:val="008E1562"/>
    <w:rsid w:val="008E2C55"/>
    <w:rsid w:val="008E3F25"/>
    <w:rsid w:val="008E4D07"/>
    <w:rsid w:val="008F0A12"/>
    <w:rsid w:val="008F1DDB"/>
    <w:rsid w:val="008F3139"/>
    <w:rsid w:val="008F5339"/>
    <w:rsid w:val="0090214F"/>
    <w:rsid w:val="009028FE"/>
    <w:rsid w:val="009038D4"/>
    <w:rsid w:val="00904137"/>
    <w:rsid w:val="00907EB9"/>
    <w:rsid w:val="00911948"/>
    <w:rsid w:val="00913078"/>
    <w:rsid w:val="00915984"/>
    <w:rsid w:val="00917EB6"/>
    <w:rsid w:val="00921F35"/>
    <w:rsid w:val="00922934"/>
    <w:rsid w:val="00922A2A"/>
    <w:rsid w:val="00930D52"/>
    <w:rsid w:val="00932799"/>
    <w:rsid w:val="0093356F"/>
    <w:rsid w:val="00933E14"/>
    <w:rsid w:val="00933E69"/>
    <w:rsid w:val="0094139D"/>
    <w:rsid w:val="0094423A"/>
    <w:rsid w:val="009443B1"/>
    <w:rsid w:val="009450DF"/>
    <w:rsid w:val="00947D45"/>
    <w:rsid w:val="0095200F"/>
    <w:rsid w:val="0095206D"/>
    <w:rsid w:val="009536BC"/>
    <w:rsid w:val="00953D9C"/>
    <w:rsid w:val="00957B4A"/>
    <w:rsid w:val="00960C3A"/>
    <w:rsid w:val="00960D7D"/>
    <w:rsid w:val="00965372"/>
    <w:rsid w:val="00965E25"/>
    <w:rsid w:val="00966449"/>
    <w:rsid w:val="0096677A"/>
    <w:rsid w:val="00967B4B"/>
    <w:rsid w:val="00967C7E"/>
    <w:rsid w:val="009729BE"/>
    <w:rsid w:val="00973D42"/>
    <w:rsid w:val="00976D79"/>
    <w:rsid w:val="00977F62"/>
    <w:rsid w:val="009808AC"/>
    <w:rsid w:val="00981E95"/>
    <w:rsid w:val="009830D5"/>
    <w:rsid w:val="009841DD"/>
    <w:rsid w:val="00986C00"/>
    <w:rsid w:val="00987ACC"/>
    <w:rsid w:val="0099333A"/>
    <w:rsid w:val="0099363B"/>
    <w:rsid w:val="0099364B"/>
    <w:rsid w:val="00995995"/>
    <w:rsid w:val="00996A28"/>
    <w:rsid w:val="00997A88"/>
    <w:rsid w:val="00997F20"/>
    <w:rsid w:val="009A2C7F"/>
    <w:rsid w:val="009A4918"/>
    <w:rsid w:val="009A7735"/>
    <w:rsid w:val="009B24E4"/>
    <w:rsid w:val="009B5C76"/>
    <w:rsid w:val="009B5DAB"/>
    <w:rsid w:val="009C1148"/>
    <w:rsid w:val="009C2D9B"/>
    <w:rsid w:val="009C436C"/>
    <w:rsid w:val="009C4F77"/>
    <w:rsid w:val="009C5161"/>
    <w:rsid w:val="009C6AA0"/>
    <w:rsid w:val="009D3120"/>
    <w:rsid w:val="009D40F3"/>
    <w:rsid w:val="009D4F13"/>
    <w:rsid w:val="009E0E39"/>
    <w:rsid w:val="009E1788"/>
    <w:rsid w:val="009E3736"/>
    <w:rsid w:val="009E3C0F"/>
    <w:rsid w:val="009E3E10"/>
    <w:rsid w:val="009E3F57"/>
    <w:rsid w:val="009E4D28"/>
    <w:rsid w:val="009E558A"/>
    <w:rsid w:val="009E73E1"/>
    <w:rsid w:val="009F1764"/>
    <w:rsid w:val="009F3344"/>
    <w:rsid w:val="009F3E28"/>
    <w:rsid w:val="009F5723"/>
    <w:rsid w:val="009F6DFD"/>
    <w:rsid w:val="009F6E9E"/>
    <w:rsid w:val="009F7E66"/>
    <w:rsid w:val="00A02BFD"/>
    <w:rsid w:val="00A05200"/>
    <w:rsid w:val="00A05E5D"/>
    <w:rsid w:val="00A07FEA"/>
    <w:rsid w:val="00A12577"/>
    <w:rsid w:val="00A12D8D"/>
    <w:rsid w:val="00A13B0A"/>
    <w:rsid w:val="00A14126"/>
    <w:rsid w:val="00A21408"/>
    <w:rsid w:val="00A218E9"/>
    <w:rsid w:val="00A24420"/>
    <w:rsid w:val="00A31622"/>
    <w:rsid w:val="00A3178A"/>
    <w:rsid w:val="00A3196B"/>
    <w:rsid w:val="00A33A8C"/>
    <w:rsid w:val="00A33BB9"/>
    <w:rsid w:val="00A34038"/>
    <w:rsid w:val="00A34143"/>
    <w:rsid w:val="00A34C10"/>
    <w:rsid w:val="00A34E71"/>
    <w:rsid w:val="00A36FF7"/>
    <w:rsid w:val="00A37B67"/>
    <w:rsid w:val="00A42608"/>
    <w:rsid w:val="00A43A5D"/>
    <w:rsid w:val="00A45443"/>
    <w:rsid w:val="00A45944"/>
    <w:rsid w:val="00A466CF"/>
    <w:rsid w:val="00A47CEA"/>
    <w:rsid w:val="00A5280F"/>
    <w:rsid w:val="00A52CAB"/>
    <w:rsid w:val="00A53E50"/>
    <w:rsid w:val="00A55D3F"/>
    <w:rsid w:val="00A56BB7"/>
    <w:rsid w:val="00A60218"/>
    <w:rsid w:val="00A64840"/>
    <w:rsid w:val="00A648FF"/>
    <w:rsid w:val="00A65732"/>
    <w:rsid w:val="00A739F6"/>
    <w:rsid w:val="00A74972"/>
    <w:rsid w:val="00A77187"/>
    <w:rsid w:val="00A77883"/>
    <w:rsid w:val="00A80B94"/>
    <w:rsid w:val="00A83856"/>
    <w:rsid w:val="00A8437D"/>
    <w:rsid w:val="00A84B9C"/>
    <w:rsid w:val="00A854CA"/>
    <w:rsid w:val="00A90B4E"/>
    <w:rsid w:val="00A914A2"/>
    <w:rsid w:val="00A9292D"/>
    <w:rsid w:val="00A946B9"/>
    <w:rsid w:val="00A95A4E"/>
    <w:rsid w:val="00AA09B5"/>
    <w:rsid w:val="00AA1106"/>
    <w:rsid w:val="00AA1356"/>
    <w:rsid w:val="00AA1B20"/>
    <w:rsid w:val="00AA5D3F"/>
    <w:rsid w:val="00AA636B"/>
    <w:rsid w:val="00AA6548"/>
    <w:rsid w:val="00AA65DA"/>
    <w:rsid w:val="00AB025F"/>
    <w:rsid w:val="00AB0B91"/>
    <w:rsid w:val="00AB34E7"/>
    <w:rsid w:val="00AB5F19"/>
    <w:rsid w:val="00AC0770"/>
    <w:rsid w:val="00AC148F"/>
    <w:rsid w:val="00AC316D"/>
    <w:rsid w:val="00AC3318"/>
    <w:rsid w:val="00AC454B"/>
    <w:rsid w:val="00AC5A70"/>
    <w:rsid w:val="00AC5BF9"/>
    <w:rsid w:val="00AC7E47"/>
    <w:rsid w:val="00AC7FA0"/>
    <w:rsid w:val="00AD33CA"/>
    <w:rsid w:val="00AD490D"/>
    <w:rsid w:val="00AD56D0"/>
    <w:rsid w:val="00AD5D3F"/>
    <w:rsid w:val="00AE3E48"/>
    <w:rsid w:val="00AE5B53"/>
    <w:rsid w:val="00AF0BEA"/>
    <w:rsid w:val="00AF23A9"/>
    <w:rsid w:val="00AF5072"/>
    <w:rsid w:val="00AF6590"/>
    <w:rsid w:val="00AF7AAB"/>
    <w:rsid w:val="00B0096F"/>
    <w:rsid w:val="00B01F8C"/>
    <w:rsid w:val="00B02ABD"/>
    <w:rsid w:val="00B02F70"/>
    <w:rsid w:val="00B07473"/>
    <w:rsid w:val="00B10954"/>
    <w:rsid w:val="00B11203"/>
    <w:rsid w:val="00B11E6A"/>
    <w:rsid w:val="00B12088"/>
    <w:rsid w:val="00B131BE"/>
    <w:rsid w:val="00B139BC"/>
    <w:rsid w:val="00B13F87"/>
    <w:rsid w:val="00B15978"/>
    <w:rsid w:val="00B22B8D"/>
    <w:rsid w:val="00B23FD6"/>
    <w:rsid w:val="00B277F2"/>
    <w:rsid w:val="00B27C51"/>
    <w:rsid w:val="00B31406"/>
    <w:rsid w:val="00B32D1F"/>
    <w:rsid w:val="00B33507"/>
    <w:rsid w:val="00B3483A"/>
    <w:rsid w:val="00B37313"/>
    <w:rsid w:val="00B40A97"/>
    <w:rsid w:val="00B4137C"/>
    <w:rsid w:val="00B43E55"/>
    <w:rsid w:val="00B45306"/>
    <w:rsid w:val="00B478F5"/>
    <w:rsid w:val="00B511B1"/>
    <w:rsid w:val="00B547DB"/>
    <w:rsid w:val="00B556D8"/>
    <w:rsid w:val="00B60837"/>
    <w:rsid w:val="00B60FEF"/>
    <w:rsid w:val="00B643BC"/>
    <w:rsid w:val="00B64EEA"/>
    <w:rsid w:val="00B673B6"/>
    <w:rsid w:val="00B67595"/>
    <w:rsid w:val="00B70279"/>
    <w:rsid w:val="00B725B0"/>
    <w:rsid w:val="00B73DDE"/>
    <w:rsid w:val="00B761AE"/>
    <w:rsid w:val="00B76659"/>
    <w:rsid w:val="00B77914"/>
    <w:rsid w:val="00B80BD4"/>
    <w:rsid w:val="00B834A9"/>
    <w:rsid w:val="00B847CF"/>
    <w:rsid w:val="00B857B3"/>
    <w:rsid w:val="00B8602B"/>
    <w:rsid w:val="00B86993"/>
    <w:rsid w:val="00B87F82"/>
    <w:rsid w:val="00B905D1"/>
    <w:rsid w:val="00B9165E"/>
    <w:rsid w:val="00B9280F"/>
    <w:rsid w:val="00B92FC4"/>
    <w:rsid w:val="00B95BA9"/>
    <w:rsid w:val="00B9673F"/>
    <w:rsid w:val="00B96F47"/>
    <w:rsid w:val="00B97539"/>
    <w:rsid w:val="00BA0756"/>
    <w:rsid w:val="00BA168A"/>
    <w:rsid w:val="00BA4D8C"/>
    <w:rsid w:val="00BA5F0E"/>
    <w:rsid w:val="00BA6EAB"/>
    <w:rsid w:val="00BA72A7"/>
    <w:rsid w:val="00BB502A"/>
    <w:rsid w:val="00BB6AE9"/>
    <w:rsid w:val="00BC2614"/>
    <w:rsid w:val="00BC26D7"/>
    <w:rsid w:val="00BC2BE7"/>
    <w:rsid w:val="00BC31EB"/>
    <w:rsid w:val="00BC3985"/>
    <w:rsid w:val="00BC59EF"/>
    <w:rsid w:val="00BD0543"/>
    <w:rsid w:val="00BD1288"/>
    <w:rsid w:val="00BD2415"/>
    <w:rsid w:val="00BD2E71"/>
    <w:rsid w:val="00BD36FD"/>
    <w:rsid w:val="00BD3A8E"/>
    <w:rsid w:val="00BD3E99"/>
    <w:rsid w:val="00BD4AB3"/>
    <w:rsid w:val="00BD5645"/>
    <w:rsid w:val="00BD59A6"/>
    <w:rsid w:val="00BD6467"/>
    <w:rsid w:val="00BE0A8B"/>
    <w:rsid w:val="00BE0F85"/>
    <w:rsid w:val="00BE1DC2"/>
    <w:rsid w:val="00BE2A22"/>
    <w:rsid w:val="00BE35E1"/>
    <w:rsid w:val="00BE4823"/>
    <w:rsid w:val="00BE674D"/>
    <w:rsid w:val="00BF12DD"/>
    <w:rsid w:val="00BF2C72"/>
    <w:rsid w:val="00BF7B06"/>
    <w:rsid w:val="00C0155E"/>
    <w:rsid w:val="00C03691"/>
    <w:rsid w:val="00C0452B"/>
    <w:rsid w:val="00C04AC1"/>
    <w:rsid w:val="00C04BD9"/>
    <w:rsid w:val="00C1032E"/>
    <w:rsid w:val="00C1063D"/>
    <w:rsid w:val="00C10BF6"/>
    <w:rsid w:val="00C10D7C"/>
    <w:rsid w:val="00C11662"/>
    <w:rsid w:val="00C1197E"/>
    <w:rsid w:val="00C1234E"/>
    <w:rsid w:val="00C1324D"/>
    <w:rsid w:val="00C1340D"/>
    <w:rsid w:val="00C1671F"/>
    <w:rsid w:val="00C1695B"/>
    <w:rsid w:val="00C20CF4"/>
    <w:rsid w:val="00C21A98"/>
    <w:rsid w:val="00C25A70"/>
    <w:rsid w:val="00C3112C"/>
    <w:rsid w:val="00C3517E"/>
    <w:rsid w:val="00C36F6C"/>
    <w:rsid w:val="00C40297"/>
    <w:rsid w:val="00C4466B"/>
    <w:rsid w:val="00C50457"/>
    <w:rsid w:val="00C512D7"/>
    <w:rsid w:val="00C527FA"/>
    <w:rsid w:val="00C53A6D"/>
    <w:rsid w:val="00C53ACE"/>
    <w:rsid w:val="00C53C27"/>
    <w:rsid w:val="00C54125"/>
    <w:rsid w:val="00C5437D"/>
    <w:rsid w:val="00C57535"/>
    <w:rsid w:val="00C57563"/>
    <w:rsid w:val="00C57B54"/>
    <w:rsid w:val="00C62474"/>
    <w:rsid w:val="00C62DD2"/>
    <w:rsid w:val="00C64996"/>
    <w:rsid w:val="00C65395"/>
    <w:rsid w:val="00C65891"/>
    <w:rsid w:val="00C7096D"/>
    <w:rsid w:val="00C7259C"/>
    <w:rsid w:val="00C726EA"/>
    <w:rsid w:val="00C7496A"/>
    <w:rsid w:val="00C74D21"/>
    <w:rsid w:val="00C80F2B"/>
    <w:rsid w:val="00C834C5"/>
    <w:rsid w:val="00C85A1A"/>
    <w:rsid w:val="00C87D65"/>
    <w:rsid w:val="00C904CA"/>
    <w:rsid w:val="00C94161"/>
    <w:rsid w:val="00C95C68"/>
    <w:rsid w:val="00C9696B"/>
    <w:rsid w:val="00CA0A2C"/>
    <w:rsid w:val="00CA16C8"/>
    <w:rsid w:val="00CA2DF4"/>
    <w:rsid w:val="00CA37CE"/>
    <w:rsid w:val="00CA4325"/>
    <w:rsid w:val="00CA4364"/>
    <w:rsid w:val="00CB0A0B"/>
    <w:rsid w:val="00CB1024"/>
    <w:rsid w:val="00CB1D13"/>
    <w:rsid w:val="00CB24EB"/>
    <w:rsid w:val="00CB2711"/>
    <w:rsid w:val="00CB3B7A"/>
    <w:rsid w:val="00CB7699"/>
    <w:rsid w:val="00CC7FC9"/>
    <w:rsid w:val="00CD11D5"/>
    <w:rsid w:val="00CD2ECD"/>
    <w:rsid w:val="00CD32C8"/>
    <w:rsid w:val="00CD37ED"/>
    <w:rsid w:val="00CD4898"/>
    <w:rsid w:val="00CD5A9F"/>
    <w:rsid w:val="00CD609E"/>
    <w:rsid w:val="00CE1124"/>
    <w:rsid w:val="00CE1E9B"/>
    <w:rsid w:val="00CE2A9C"/>
    <w:rsid w:val="00CE2BCE"/>
    <w:rsid w:val="00CE630A"/>
    <w:rsid w:val="00CE651E"/>
    <w:rsid w:val="00CE6EE2"/>
    <w:rsid w:val="00CF058D"/>
    <w:rsid w:val="00CF28A4"/>
    <w:rsid w:val="00CF2EEE"/>
    <w:rsid w:val="00CF74A1"/>
    <w:rsid w:val="00D02C21"/>
    <w:rsid w:val="00D03A2B"/>
    <w:rsid w:val="00D0499F"/>
    <w:rsid w:val="00D0565C"/>
    <w:rsid w:val="00D10ADA"/>
    <w:rsid w:val="00D116FF"/>
    <w:rsid w:val="00D125C7"/>
    <w:rsid w:val="00D12FBD"/>
    <w:rsid w:val="00D14F8A"/>
    <w:rsid w:val="00D15DA5"/>
    <w:rsid w:val="00D2155A"/>
    <w:rsid w:val="00D232E6"/>
    <w:rsid w:val="00D237D5"/>
    <w:rsid w:val="00D24406"/>
    <w:rsid w:val="00D251C8"/>
    <w:rsid w:val="00D25399"/>
    <w:rsid w:val="00D2591D"/>
    <w:rsid w:val="00D26DD7"/>
    <w:rsid w:val="00D30C37"/>
    <w:rsid w:val="00D30EF8"/>
    <w:rsid w:val="00D30F00"/>
    <w:rsid w:val="00D31859"/>
    <w:rsid w:val="00D3369B"/>
    <w:rsid w:val="00D35734"/>
    <w:rsid w:val="00D36109"/>
    <w:rsid w:val="00D363B2"/>
    <w:rsid w:val="00D37A84"/>
    <w:rsid w:val="00D44013"/>
    <w:rsid w:val="00D44338"/>
    <w:rsid w:val="00D44C0B"/>
    <w:rsid w:val="00D479A4"/>
    <w:rsid w:val="00D47F6C"/>
    <w:rsid w:val="00D503FD"/>
    <w:rsid w:val="00D50F79"/>
    <w:rsid w:val="00D513D8"/>
    <w:rsid w:val="00D5184C"/>
    <w:rsid w:val="00D53889"/>
    <w:rsid w:val="00D53894"/>
    <w:rsid w:val="00D57290"/>
    <w:rsid w:val="00D573F2"/>
    <w:rsid w:val="00D57C7E"/>
    <w:rsid w:val="00D601E3"/>
    <w:rsid w:val="00D60CB4"/>
    <w:rsid w:val="00D63557"/>
    <w:rsid w:val="00D63CF6"/>
    <w:rsid w:val="00D65857"/>
    <w:rsid w:val="00D661E7"/>
    <w:rsid w:val="00D6790B"/>
    <w:rsid w:val="00D67E4E"/>
    <w:rsid w:val="00D67FBC"/>
    <w:rsid w:val="00D70083"/>
    <w:rsid w:val="00D75891"/>
    <w:rsid w:val="00D76412"/>
    <w:rsid w:val="00D8719E"/>
    <w:rsid w:val="00D8786F"/>
    <w:rsid w:val="00D91157"/>
    <w:rsid w:val="00D912FB"/>
    <w:rsid w:val="00D92593"/>
    <w:rsid w:val="00D96591"/>
    <w:rsid w:val="00D96C69"/>
    <w:rsid w:val="00D97321"/>
    <w:rsid w:val="00DA0CDF"/>
    <w:rsid w:val="00DA2894"/>
    <w:rsid w:val="00DA3A14"/>
    <w:rsid w:val="00DA4911"/>
    <w:rsid w:val="00DA5561"/>
    <w:rsid w:val="00DA57ED"/>
    <w:rsid w:val="00DA58A4"/>
    <w:rsid w:val="00DA60D4"/>
    <w:rsid w:val="00DA7926"/>
    <w:rsid w:val="00DB41E8"/>
    <w:rsid w:val="00DB4754"/>
    <w:rsid w:val="00DB64D0"/>
    <w:rsid w:val="00DC1F3C"/>
    <w:rsid w:val="00DC1F61"/>
    <w:rsid w:val="00DC1FA7"/>
    <w:rsid w:val="00DC28AD"/>
    <w:rsid w:val="00DC33BF"/>
    <w:rsid w:val="00DC3FC6"/>
    <w:rsid w:val="00DC5C06"/>
    <w:rsid w:val="00DC5C4D"/>
    <w:rsid w:val="00DD0E3D"/>
    <w:rsid w:val="00DD1AE4"/>
    <w:rsid w:val="00DD7F35"/>
    <w:rsid w:val="00DE0540"/>
    <w:rsid w:val="00DE462B"/>
    <w:rsid w:val="00DE5C20"/>
    <w:rsid w:val="00DE6316"/>
    <w:rsid w:val="00DF04B6"/>
    <w:rsid w:val="00DF177E"/>
    <w:rsid w:val="00DF18EE"/>
    <w:rsid w:val="00DF240C"/>
    <w:rsid w:val="00DF4F46"/>
    <w:rsid w:val="00DF5FB9"/>
    <w:rsid w:val="00DF76CD"/>
    <w:rsid w:val="00E0049B"/>
    <w:rsid w:val="00E0182C"/>
    <w:rsid w:val="00E0484E"/>
    <w:rsid w:val="00E05587"/>
    <w:rsid w:val="00E0609B"/>
    <w:rsid w:val="00E06397"/>
    <w:rsid w:val="00E103FE"/>
    <w:rsid w:val="00E122C3"/>
    <w:rsid w:val="00E14D55"/>
    <w:rsid w:val="00E16510"/>
    <w:rsid w:val="00E17DCA"/>
    <w:rsid w:val="00E20DF2"/>
    <w:rsid w:val="00E22365"/>
    <w:rsid w:val="00E23B23"/>
    <w:rsid w:val="00E23F21"/>
    <w:rsid w:val="00E24D5F"/>
    <w:rsid w:val="00E27589"/>
    <w:rsid w:val="00E30C34"/>
    <w:rsid w:val="00E35E32"/>
    <w:rsid w:val="00E36BA2"/>
    <w:rsid w:val="00E370C2"/>
    <w:rsid w:val="00E379EF"/>
    <w:rsid w:val="00E37F1B"/>
    <w:rsid w:val="00E408E6"/>
    <w:rsid w:val="00E40ADD"/>
    <w:rsid w:val="00E40AEC"/>
    <w:rsid w:val="00E42D42"/>
    <w:rsid w:val="00E45A88"/>
    <w:rsid w:val="00E46636"/>
    <w:rsid w:val="00E50F0D"/>
    <w:rsid w:val="00E6258F"/>
    <w:rsid w:val="00E643AB"/>
    <w:rsid w:val="00E64B55"/>
    <w:rsid w:val="00E64B77"/>
    <w:rsid w:val="00E65BDC"/>
    <w:rsid w:val="00E66EA2"/>
    <w:rsid w:val="00E717EF"/>
    <w:rsid w:val="00E71F11"/>
    <w:rsid w:val="00E721A1"/>
    <w:rsid w:val="00E74471"/>
    <w:rsid w:val="00E75C34"/>
    <w:rsid w:val="00E76459"/>
    <w:rsid w:val="00E7655F"/>
    <w:rsid w:val="00E776D6"/>
    <w:rsid w:val="00E779BE"/>
    <w:rsid w:val="00E81156"/>
    <w:rsid w:val="00E84C9C"/>
    <w:rsid w:val="00E85714"/>
    <w:rsid w:val="00E86FED"/>
    <w:rsid w:val="00E87403"/>
    <w:rsid w:val="00E906A4"/>
    <w:rsid w:val="00E90CB2"/>
    <w:rsid w:val="00E92369"/>
    <w:rsid w:val="00E9443C"/>
    <w:rsid w:val="00E962F4"/>
    <w:rsid w:val="00E96BDB"/>
    <w:rsid w:val="00E97727"/>
    <w:rsid w:val="00EA2435"/>
    <w:rsid w:val="00EA3F00"/>
    <w:rsid w:val="00EA4E04"/>
    <w:rsid w:val="00EA4FF7"/>
    <w:rsid w:val="00EA6619"/>
    <w:rsid w:val="00EB07C6"/>
    <w:rsid w:val="00EB3A5B"/>
    <w:rsid w:val="00EB65AE"/>
    <w:rsid w:val="00EC1533"/>
    <w:rsid w:val="00EC1A26"/>
    <w:rsid w:val="00EC4F30"/>
    <w:rsid w:val="00ED008A"/>
    <w:rsid w:val="00ED08FF"/>
    <w:rsid w:val="00ED0AB7"/>
    <w:rsid w:val="00ED331B"/>
    <w:rsid w:val="00ED3629"/>
    <w:rsid w:val="00ED46A9"/>
    <w:rsid w:val="00ED498E"/>
    <w:rsid w:val="00ED5DA1"/>
    <w:rsid w:val="00EE0111"/>
    <w:rsid w:val="00EE33C3"/>
    <w:rsid w:val="00EE412E"/>
    <w:rsid w:val="00EE4771"/>
    <w:rsid w:val="00EE65A3"/>
    <w:rsid w:val="00EE758D"/>
    <w:rsid w:val="00EE7B00"/>
    <w:rsid w:val="00EF071F"/>
    <w:rsid w:val="00EF2754"/>
    <w:rsid w:val="00EF3507"/>
    <w:rsid w:val="00EF5443"/>
    <w:rsid w:val="00EF6D6D"/>
    <w:rsid w:val="00EF7BB1"/>
    <w:rsid w:val="00F017EB"/>
    <w:rsid w:val="00F023F9"/>
    <w:rsid w:val="00F02BCF"/>
    <w:rsid w:val="00F02CD8"/>
    <w:rsid w:val="00F0739F"/>
    <w:rsid w:val="00F078C0"/>
    <w:rsid w:val="00F079EE"/>
    <w:rsid w:val="00F079F3"/>
    <w:rsid w:val="00F1147D"/>
    <w:rsid w:val="00F17309"/>
    <w:rsid w:val="00F21486"/>
    <w:rsid w:val="00F219B3"/>
    <w:rsid w:val="00F2522A"/>
    <w:rsid w:val="00F25ACD"/>
    <w:rsid w:val="00F27D8B"/>
    <w:rsid w:val="00F30B54"/>
    <w:rsid w:val="00F30BA4"/>
    <w:rsid w:val="00F30C04"/>
    <w:rsid w:val="00F32A3A"/>
    <w:rsid w:val="00F3377E"/>
    <w:rsid w:val="00F342D1"/>
    <w:rsid w:val="00F34CD7"/>
    <w:rsid w:val="00F3505B"/>
    <w:rsid w:val="00F4170D"/>
    <w:rsid w:val="00F47071"/>
    <w:rsid w:val="00F5226B"/>
    <w:rsid w:val="00F53D16"/>
    <w:rsid w:val="00F55E36"/>
    <w:rsid w:val="00F61335"/>
    <w:rsid w:val="00F64016"/>
    <w:rsid w:val="00F6516B"/>
    <w:rsid w:val="00F6574F"/>
    <w:rsid w:val="00F67E26"/>
    <w:rsid w:val="00F70E72"/>
    <w:rsid w:val="00F70FF6"/>
    <w:rsid w:val="00F7586C"/>
    <w:rsid w:val="00F763DD"/>
    <w:rsid w:val="00F767BD"/>
    <w:rsid w:val="00F76C78"/>
    <w:rsid w:val="00F8022F"/>
    <w:rsid w:val="00F81327"/>
    <w:rsid w:val="00F8498A"/>
    <w:rsid w:val="00F906A6"/>
    <w:rsid w:val="00F909E5"/>
    <w:rsid w:val="00F91339"/>
    <w:rsid w:val="00F91A2F"/>
    <w:rsid w:val="00F91B1F"/>
    <w:rsid w:val="00F9236F"/>
    <w:rsid w:val="00F94308"/>
    <w:rsid w:val="00F94D08"/>
    <w:rsid w:val="00F958FA"/>
    <w:rsid w:val="00F95DAD"/>
    <w:rsid w:val="00F96EA7"/>
    <w:rsid w:val="00FA0F8A"/>
    <w:rsid w:val="00FA19B8"/>
    <w:rsid w:val="00FA1B99"/>
    <w:rsid w:val="00FA1E9F"/>
    <w:rsid w:val="00FA349E"/>
    <w:rsid w:val="00FA34F2"/>
    <w:rsid w:val="00FA4179"/>
    <w:rsid w:val="00FA4B4B"/>
    <w:rsid w:val="00FA5E88"/>
    <w:rsid w:val="00FA77CA"/>
    <w:rsid w:val="00FA7BE2"/>
    <w:rsid w:val="00FB04A2"/>
    <w:rsid w:val="00FB0A40"/>
    <w:rsid w:val="00FB0AD3"/>
    <w:rsid w:val="00FB6120"/>
    <w:rsid w:val="00FC26B7"/>
    <w:rsid w:val="00FC612A"/>
    <w:rsid w:val="00FC6474"/>
    <w:rsid w:val="00FC69B1"/>
    <w:rsid w:val="00FE1219"/>
    <w:rsid w:val="00FE302C"/>
    <w:rsid w:val="00FE4D36"/>
    <w:rsid w:val="00FF0970"/>
    <w:rsid w:val="00FF1B2E"/>
    <w:rsid w:val="00FF5659"/>
    <w:rsid w:val="00FF62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854ED44"/>
  <w15:docId w15:val="{6F03A030-9A26-4E30-B09D-E3852D9715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22805"/>
    <w:pPr>
      <w:spacing w:after="0" w:line="240" w:lineRule="auto"/>
    </w:pPr>
    <w:rPr>
      <w:rFonts w:ascii="Times Armenian" w:eastAsia="Times New Roman" w:hAnsi="Times Armenian" w:cs="Times New Roman"/>
      <w:sz w:val="24"/>
      <w:szCs w:val="20"/>
      <w:lang w:val="en-US" w:eastAsia="ru-RU"/>
    </w:rPr>
  </w:style>
  <w:style w:type="paragraph" w:styleId="Heading1">
    <w:name w:val="heading 1"/>
    <w:basedOn w:val="Normal"/>
    <w:next w:val="Normal"/>
    <w:link w:val="Heading1Char"/>
    <w:uiPriority w:val="9"/>
    <w:qFormat/>
    <w:rsid w:val="00CE2BCE"/>
    <w:pPr>
      <w:keepNext/>
      <w:jc w:val="center"/>
      <w:outlineLvl w:val="0"/>
    </w:pPr>
    <w:rPr>
      <w:rFonts w:ascii="Arial Armenian" w:hAnsi="Arial Armenian"/>
      <w:sz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85E8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rsid w:val="00222805"/>
    <w:rPr>
      <w:rFonts w:ascii="Arial Armenian" w:hAnsi="Arial Armenian"/>
      <w:sz w:val="20"/>
    </w:rPr>
  </w:style>
  <w:style w:type="character" w:customStyle="1" w:styleId="BodyTextChar">
    <w:name w:val="Body Text Char"/>
    <w:basedOn w:val="DefaultParagraphFont"/>
    <w:link w:val="BodyText"/>
    <w:rsid w:val="00222805"/>
    <w:rPr>
      <w:rFonts w:ascii="Arial Armenian" w:eastAsia="Times New Roman" w:hAnsi="Arial Armenian" w:cs="Times New Roman"/>
      <w:sz w:val="20"/>
      <w:szCs w:val="20"/>
      <w:lang w:val="en-US" w:eastAsia="ru-RU"/>
    </w:rPr>
  </w:style>
  <w:style w:type="paragraph" w:styleId="Header">
    <w:name w:val="header"/>
    <w:basedOn w:val="Normal"/>
    <w:link w:val="HeaderChar"/>
    <w:uiPriority w:val="99"/>
    <w:unhideWhenUsed/>
    <w:rsid w:val="00222805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22805"/>
    <w:rPr>
      <w:rFonts w:ascii="Times Armenian" w:eastAsia="Times New Roman" w:hAnsi="Times Armenian" w:cs="Times New Roman"/>
      <w:sz w:val="24"/>
      <w:szCs w:val="20"/>
      <w:lang w:val="en-US" w:eastAsia="ru-RU"/>
    </w:rPr>
  </w:style>
  <w:style w:type="paragraph" w:styleId="Footer">
    <w:name w:val="footer"/>
    <w:basedOn w:val="Normal"/>
    <w:link w:val="FooterChar"/>
    <w:uiPriority w:val="99"/>
    <w:unhideWhenUsed/>
    <w:rsid w:val="00222805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22805"/>
    <w:rPr>
      <w:rFonts w:ascii="Times Armenian" w:eastAsia="Times New Roman" w:hAnsi="Times Armenian" w:cs="Times New Roman"/>
      <w:sz w:val="24"/>
      <w:szCs w:val="20"/>
      <w:lang w:val="en-US" w:eastAsia="ru-RU"/>
    </w:rPr>
  </w:style>
  <w:style w:type="character" w:customStyle="1" w:styleId="Heading1Char">
    <w:name w:val="Heading 1 Char"/>
    <w:basedOn w:val="DefaultParagraphFont"/>
    <w:link w:val="Heading1"/>
    <w:uiPriority w:val="9"/>
    <w:rsid w:val="00CE2BCE"/>
    <w:rPr>
      <w:rFonts w:ascii="Arial Armenian" w:eastAsia="Times New Roman" w:hAnsi="Arial Armenian" w:cs="Times New Roman"/>
      <w:sz w:val="28"/>
      <w:szCs w:val="20"/>
      <w:lang w:val="en-US" w:eastAsia="ru-RU"/>
    </w:rPr>
  </w:style>
  <w:style w:type="table" w:styleId="TableGrid">
    <w:name w:val="Table Grid"/>
    <w:basedOn w:val="TableNormal"/>
    <w:uiPriority w:val="59"/>
    <w:rsid w:val="003958B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Bullets,Akapit z listą BS,List Paragraph 1,List_Paragraph,Multilevel para_II,List Paragraph (numbered (a)),OBC Bullet,List Paragraph11,Normal numbered,Абзац списка1,Paragraphe de liste PBLH,List Paragraph1,References"/>
    <w:basedOn w:val="Normal"/>
    <w:link w:val="ListParagraphChar"/>
    <w:uiPriority w:val="34"/>
    <w:qFormat/>
    <w:rsid w:val="002A6EAD"/>
    <w:pPr>
      <w:ind w:left="720"/>
      <w:contextualSpacing/>
    </w:pPr>
  </w:style>
  <w:style w:type="paragraph" w:customStyle="1" w:styleId="msonormalmailrucssattributepostfix">
    <w:name w:val="msonormal_mailru_css_attribute_postfix"/>
    <w:basedOn w:val="Normal"/>
    <w:rsid w:val="001C7844"/>
    <w:pPr>
      <w:spacing w:before="100" w:beforeAutospacing="1" w:after="100" w:afterAutospacing="1"/>
    </w:pPr>
    <w:rPr>
      <w:rFonts w:ascii="Times New Roman" w:hAnsi="Times New Roman"/>
      <w:szCs w:val="24"/>
      <w:lang w:eastAsia="en-US"/>
    </w:rPr>
  </w:style>
  <w:style w:type="character" w:customStyle="1" w:styleId="apple-converted-space">
    <w:name w:val="apple-converted-space"/>
    <w:basedOn w:val="DefaultParagraphFont"/>
    <w:rsid w:val="008B543B"/>
  </w:style>
  <w:style w:type="character" w:customStyle="1" w:styleId="ListParagraphChar">
    <w:name w:val="List Paragraph Char"/>
    <w:aliases w:val="Bullets Char,Akapit z listą BS Char,List Paragraph 1 Char,List_Paragraph Char,Multilevel para_II Char,List Paragraph (numbered (a)) Char,OBC Bullet Char,List Paragraph11 Char,Normal numbered Char,Абзац списка1 Char,References Char"/>
    <w:link w:val="ListParagraph"/>
    <w:uiPriority w:val="34"/>
    <w:locked/>
    <w:rsid w:val="002E12B0"/>
    <w:rPr>
      <w:rFonts w:ascii="Times Armenian" w:eastAsia="Times New Roman" w:hAnsi="Times Armenian" w:cs="Times New Roman"/>
      <w:sz w:val="24"/>
      <w:szCs w:val="20"/>
      <w:lang w:val="en-US" w:eastAsia="ru-RU"/>
    </w:rPr>
  </w:style>
  <w:style w:type="paragraph" w:customStyle="1" w:styleId="rmcedqov">
    <w:name w:val="rmcedqov"/>
    <w:basedOn w:val="Normal"/>
    <w:rsid w:val="00FA77CA"/>
    <w:pPr>
      <w:spacing w:before="100" w:beforeAutospacing="1" w:after="100" w:afterAutospacing="1"/>
    </w:pPr>
    <w:rPr>
      <w:rFonts w:ascii="Times New Roman" w:hAnsi="Times New Roman"/>
      <w:szCs w:val="24"/>
      <w:lang w:val="hy-AM" w:eastAsia="hy-AM"/>
    </w:rPr>
  </w:style>
  <w:style w:type="character" w:customStyle="1" w:styleId="layout">
    <w:name w:val="layout"/>
    <w:basedOn w:val="DefaultParagraphFont"/>
    <w:rsid w:val="00BA72A7"/>
  </w:style>
  <w:style w:type="paragraph" w:styleId="FootnoteText">
    <w:name w:val="footnote text"/>
    <w:basedOn w:val="Normal"/>
    <w:link w:val="FootnoteTextChar"/>
    <w:semiHidden/>
    <w:rsid w:val="00620B22"/>
    <w:rPr>
      <w:sz w:val="20"/>
      <w:lang w:val="ru-RU" w:bidi="ru-RU"/>
    </w:rPr>
  </w:style>
  <w:style w:type="character" w:customStyle="1" w:styleId="FootnoteTextChar">
    <w:name w:val="Footnote Text Char"/>
    <w:basedOn w:val="DefaultParagraphFont"/>
    <w:link w:val="FootnoteText"/>
    <w:semiHidden/>
    <w:rsid w:val="00620B22"/>
    <w:rPr>
      <w:rFonts w:ascii="Times Armenian" w:eastAsia="Times New Roman" w:hAnsi="Times Armenian" w:cs="Times New Roman"/>
      <w:sz w:val="20"/>
      <w:szCs w:val="20"/>
      <w:lang w:eastAsia="ru-RU" w:bidi="ru-RU"/>
    </w:rPr>
  </w:style>
  <w:style w:type="character" w:styleId="FootnoteReference">
    <w:name w:val="footnote reference"/>
    <w:semiHidden/>
    <w:rsid w:val="00D44C0B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A515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5159"/>
    <w:rPr>
      <w:rFonts w:ascii="Segoe UI" w:eastAsia="Times New Roman" w:hAnsi="Segoe UI" w:cs="Segoe UI"/>
      <w:sz w:val="18"/>
      <w:szCs w:val="18"/>
      <w:lang w:val="en-US" w:eastAsia="ru-RU"/>
    </w:rPr>
  </w:style>
  <w:style w:type="character" w:customStyle="1" w:styleId="rynqvb">
    <w:name w:val="rynqvb"/>
    <w:basedOn w:val="DefaultParagraphFont"/>
    <w:rsid w:val="00061C44"/>
  </w:style>
  <w:style w:type="paragraph" w:styleId="HTMLPreformatted">
    <w:name w:val="HTML Preformatted"/>
    <w:basedOn w:val="Normal"/>
    <w:link w:val="HTMLPreformattedChar"/>
    <w:uiPriority w:val="99"/>
    <w:unhideWhenUsed/>
    <w:rsid w:val="0007230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lang w:eastAsia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07230C"/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y2iqfc">
    <w:name w:val="y2iqfc"/>
    <w:basedOn w:val="DefaultParagraphFont"/>
    <w:rsid w:val="0007230C"/>
  </w:style>
  <w:style w:type="paragraph" w:styleId="NormalWeb">
    <w:name w:val="Normal (Web)"/>
    <w:basedOn w:val="Normal"/>
    <w:uiPriority w:val="99"/>
    <w:unhideWhenUsed/>
    <w:rsid w:val="003E577B"/>
    <w:pPr>
      <w:spacing w:before="100" w:beforeAutospacing="1" w:after="100" w:afterAutospacing="1"/>
    </w:pPr>
    <w:rPr>
      <w:rFonts w:ascii="Times New Roman" w:hAnsi="Times New Roman"/>
      <w:szCs w:val="24"/>
      <w:lang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285E8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ru-RU"/>
    </w:rPr>
  </w:style>
  <w:style w:type="character" w:styleId="Hyperlink">
    <w:name w:val="Hyperlink"/>
    <w:basedOn w:val="DefaultParagraphFont"/>
    <w:uiPriority w:val="99"/>
    <w:unhideWhenUsed/>
    <w:rsid w:val="00B478F5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B478F5"/>
    <w:rPr>
      <w:b/>
      <w:bCs/>
    </w:rPr>
  </w:style>
  <w:style w:type="character" w:styleId="Emphasis">
    <w:name w:val="Emphasis"/>
    <w:basedOn w:val="DefaultParagraphFont"/>
    <w:uiPriority w:val="20"/>
    <w:qFormat/>
    <w:rsid w:val="00F079F3"/>
    <w:rPr>
      <w:i/>
      <w:iCs/>
    </w:rPr>
  </w:style>
  <w:style w:type="character" w:customStyle="1" w:styleId="c-detailpagetitle">
    <w:name w:val="c-detailpage__title"/>
    <w:basedOn w:val="DefaultParagraphFont"/>
    <w:rsid w:val="003A7FCD"/>
  </w:style>
  <w:style w:type="character" w:customStyle="1" w:styleId="UnresolvedMention">
    <w:name w:val="Unresolved Mention"/>
    <w:basedOn w:val="DefaultParagraphFont"/>
    <w:uiPriority w:val="99"/>
    <w:semiHidden/>
    <w:unhideWhenUsed/>
    <w:rsid w:val="00E8115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3963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873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843264">
              <w:marLeft w:val="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286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29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88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25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7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46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45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56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03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49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98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6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1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54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64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7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288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345007">
              <w:marLeft w:val="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44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69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67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73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69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82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3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80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81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879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8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6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5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29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73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03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3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65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77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26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igmaaldrich.com/AM/en/search/9048-46-8?focus=products&amp;page=1&amp;perpage=30&amp;sort=relevance&amp;term=9048-46-8&amp;type=cas_number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52A9A8-D4EB-42BC-B2F1-FD5774032C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25</Pages>
  <Words>5680</Words>
  <Characters>32380</Characters>
  <Application>Microsoft Office Word</Application>
  <DocSecurity>0</DocSecurity>
  <Lines>269</Lines>
  <Paragraphs>75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37985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>https:/mul.ysu.am/tasks/191073/oneclick/002dd28bed44449c943278b2f46007dca2e2ebf2630275c033870a47262b1fd5.docx?token=868df1f61e4dbaf5aced298f8f9c3dad</cp:keywords>
  <dc:description/>
  <cp:lastModifiedBy>Alla Makaryan</cp:lastModifiedBy>
  <cp:revision>16</cp:revision>
  <cp:lastPrinted>2025-01-16T10:41:00Z</cp:lastPrinted>
  <dcterms:created xsi:type="dcterms:W3CDTF">2025-02-17T08:33:00Z</dcterms:created>
  <dcterms:modified xsi:type="dcterms:W3CDTF">2025-02-17T11:47:00Z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9b6445ca2b2307f3971a903117158afb552ddbcce9577cdeef8b3b69756b07bd</vt:lpwstr>
  </property>
</Properties>
</file>