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Источники бесперебойного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ՀՀԷՆ-ԷԱՃԱՊՁԲ-25/17</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Источники бесперебойного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Источники бесперебойного питания</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Источники бесперебойного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ՀՀԷՆ-ԷԱՃԱՊՁԲ-25/17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ՀՀԷՆ-ԷԱՃԱՊՁԲ-25/17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 года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1. Тип системы: On-line, с двойным преобразованием, трехфазная (3×380 В / 3×400 В / 3×415 В) (3F+N), мощность: 10 кВА, частота: 50 / 60 Гц
2. Количество и емкость аккумуляторных батарей. 32 шт. 9-амперных аккумулятора Тип аккумулятора: Pb-Ca, VRLA, свинцово-кислотный, гелевый, Ni-Cd, Li-Ion Режим байпаса: непрерывный или автоматический байпас в случае перегрузки Эффективность системы: »96% (в режиме On-line), 98% (в режиме Smart Eco)
3. Характеристики напряжения: Номинальное напряжение: Трехфазное 3 × 380 В / 3 × 400 В / 3 × 415 В (3F + N) Статическая точность: ±1% Динамическая точность: ±10% Частота свободного хода: 50/60 Гц ±0,5% Синхронизированная частота: 50/60 Гц ±5 Гц (по выбору)
4. Системы передачи и управления: Точность нагрузки: ±1% (от нагрузки 1 кВА) Управление зарядкой аккумулятора: Batt-Watch Интерфейсы связи: 1xRS232, 1xUSB, SNMP, RS485 Сенсорный экран: 5” LCD, цветной, с подсветкой
5. Режимы управления: Режим Smart Eco: более высокая эффективность (время переключения «10 мс) Интеллектуальный слот NIMBUS: подробные параметры управления для мониторинга системы Время переключения (для байпаса): «10 мс
6. Безопасность и устойчивость Стандарты безопасности: IEC/EN 62040-1 Электромагнитная совместимость (ЭМС): IEC/EN 62040-2 C3 SS-11 Корпоративные сертификаты: ISO 9001, ISO 14001, ISO 45001
7. Условия эксплуатации: Рабочая температура: 0ºC ÷ +40ºC Относительная влажность: 95% (без конденсации) Акустический шум: «59 дБ (на расстоянии 1 метра) Монтаж силового оборудования: Подрядчик обязан выполнять все монтажные работы с использованием соответствующего оборудования. Товар должен быть новым, неиспользованным. Гарантия: не менее 3 лет. При поставке продукции компания-поставщик обязана предоставить письмо-разрешение (MAF - Manufacturer's Authorization Form) от имени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2-oй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