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БРП ОНКС РА “Центр образовательных программ”</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0070, ул. С. Врацяна 73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Առաքելյան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 հեռախոսահամար՝ 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БРП ОНКС РА “Центр образовательных программ”</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ԿԾԿԾԻԳ-ԷԱՃԱՊՁԲ-25/1</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БРП ОНКС РА “Центр образовательных программ”</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БРП ОНКС РА “Центр образовательных программ”</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БРП ОНКС РА “Центр образовательных программ”</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ԿԾԿԾԻԳ-ԷԱՃԱՊՁԲ-25/1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ԿԾԿԾԻԳ-ԷԱՃԱՊՁԲ-25/1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БРП ОНКС РА “Центр образовательных программ”</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"ԿԾԿԾԻԳ-ԷԱՃԱՊՁԲ-25/1"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- 900011046670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"ԿԾԿԾԻԳ-ԷԱՃԱՊՁԲ-25/1"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- 900011046670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ԿԾԿԾԻԳ-ԷԱՃԱՊՁԲ-25/1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95, моторный метод: не менее 85, давление насыщенных паров бензина: от 45 до 100 кПа, содержание свинца не более 5 мг/дм, объемная доля бензола не более. более 1%, плотность при 15 градусах Цельсия от 720 до 775 кг/дм, содержание серы не более 10 мг/кг, массовая доля кислорода не более 2,7%, объемная доля окислителей, не более: метанол-3%. ,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РА 2004 г. правительство. «Технический регламент моторных топлив внутреннего сгорания», утвержденный решением N 1592 от 11 ноября. 
Поставка должна осуществляться по талонам, которые должны обслуживаться на всей территории Республики Армения (Ереван и марзы).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С. Врацяна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Заказчика, в течение 20 календарных дней, до 25.12.2024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