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համակարգչային տեխնիկայի ձեռքբերում 25/08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համակարգչային տեխնիկայի ձեռքբերում 25/08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համակարգչային տեխնիկայի ձեռքբերում 25/08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համակարգչային տեխնիկայի ձեռքբերում 25/08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ԲԲԿ-ԷԱՃ-ԱՊՁԲ-25/08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ԲԲԿ-ԷԱՃ-ԱՊՁԲ-25/08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ԲԲԿ-ԷԱՃ-ԱՊՁԲ-25/08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ԲԵՐԴԻ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Intel Պրոցեսոր - i3 (12 Gen),կոշտ սկավառակ – SSD 512 Gb,օպերատիվ հիշողություն – ոչ պակաս  DDR4, 16GB,  մոնիտոր –LED  ոչ պակաս 24 դյույմ, ոչ պակաս 1920x1080, ստեղնաշար - «Genius LuxeMate 100» կամ համարժեք Dell , USB պորտով, համակարգչային մկնիկ Genius կամ համարժեք Dell լարով USB պորտով: Ապրանքը պետք է մատակարարվի կոմպտելկտացիայով, նոր փաթեթավորված և երաշխիքային կտրոնով` երաշխիք – ոչ պակաս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մոնոխրոմ լազերային տպիչ սարք (տպիչ, սկաներ, պատճենահան) Canon MF3010 կամ համարժեք HP, պաtճենահանման չափսը՝  A4, պատճենահանման / տպման արագությունը՝ 18 էջ րոպեում, օպերատիվ հիշողությունը՝ 64ՄԲ, միցման տեսակը՝ USB 2.0 Hi-speed, քարթրիջը՝ Cartrige 725: Կոմպլեկտացիայի մեջ պետք է ներառված լինեն միացման համար անհրաժեշտ լարերը  և 1  հատ լրացուցիչ քարթրիջ: Ապրանքը պետք է մատակարարվի նոր փաթեթավորված և երաշխիքային կտրոնով` երաշխիք – ոչ պակաս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 գնորդի կողմից պատվիրվիրվելուց  հետո5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 գնորդի կողմից պատվիրվիրվելուց  հետո5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