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2025.02.20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4</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образования, науки, культуры и спорта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В. Саргсяна 3, Дом правительства 2, Ереван</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Приобретение имущества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Լիանա Խառատյան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liana.kharatyan@escs.am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010-599-656</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образования, науки, культуры и спорта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ՀՀԿԳՄՍՆԷԱՃԱՊՁԲ-25/24</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2025.02.20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4</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Приобретение имущества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Приобретение имущества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образования, науки, культуры и спорта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ՀՀԿԳՄՍՆԷԱՃԱՊՁԲ-25/24</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liana.kharatyan@escs.am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Приобретение имущества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складные стулья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напольные покрытия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395.72</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4.3881</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412.42</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2025.03.04.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ՀՀԿԳՄՍՆԷԱՃԱՊՁԲ-25/24</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ՀՀԿԳՄՍՆԷԱՃԱՊՁԲ-25/24</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ՀՀԿԳՄՍՆԷԱՃԱՊՁԲ-25/24</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ՀՀԿԳՄՍՆԷԱՃԱՊՁԲ-25/24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образования, науки, культуры и спорта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"ՀՀԿԳՄՍՆԷԱՃԱՊՁԲ-25/24"*</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"ՀՀԿԳՄՍՆԷԱՃԱՊՁԲ-25/24"</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ՀՀԿԳՄՍՆԷԱՃԱՊՁԲ-25/24*.</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- 900008000466 /հայտի ապահովում/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ՀՀԿԳՄՍՆԷԱՃԱՊՁԲ-25/24</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"ՀՀԿԳՄՍՆԷԱՃԱՊՁԲ-25/24"</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ՀՀԿԳՄՍՆԷԱՃԱՊՁԲ-25/24*.</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- 900008000466 /հայտի ապահովում/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ՀՀԿԳՄՍՆԷԱՃԱՊՁԲ-25/24</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1 год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ՀՀԿԳՄՍՆԷԱՃԱՊՁԲ-25/24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складные стулья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Театральное кресло Премиум или Люкс класса.  Ширина кресла 500-580 мм, высота не более 1100 мм не менее 900мм.  Группа токсичности продуктов горения Т3 по ГОСТ 12.1.044. Обивочный материал типа «Жаккард» или аналогичный. Поверхностная плотность не менее 450-600 г/м2, толщина не менее 2,4 мм. И должен соответствовать требованиям В3 (ГОСТ 30402), Д2, Т3 (ГОСТ 12.1.044), РП3 (ГОСТ 51032). Мягкий элемент кресла должен состоять из   формованного пенополиуретана плотностью  45- 60 кг/м3 с интегрированным литым полипропиленовым каркасом высокой прочности . Обивка кресла должна быть выполнена из высококачественной  мебельной ткани синего цвета. Боковины кресла должны быть выполнены из  литого полипропиленового каркаса высокой прочности или деревянными, и должен комплектоватся полипропиленовыми или деревянными накладками с текстурным рисунком.  Подлокотники кресла должны быть выполнены из  литого полипропилена с текстурой под массив дерева или деревянными.  Защита спинки кресла должна быть выполнена из литого полипропилена толщиной не менее 2мм или деревянной. Повороойтный механизм сиденья  кресла должен иметь пружинный поворотный механизм выполненный из стали. В комплекте с установкой кресел в зале.  
Производитель Театр-Мебель, фирма Театр-Мебель Модель Багарт или аналог Производитель RATCO, фирма RATCO Модель Robustino Luxe RL-01 или аналог, Производитель Furnitrade, фирма Furnitrade Модель Краун.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напольные покрытия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Театральное специальное ковролиновое покрытие с степенью износа и горючести. Класс износостойкости не менне 33. Способ производства Тафтинг или аналогичное. Состав ворса 100% полиамид. Вид ворса Петлевой. Ширина рулона от 4 м. Вес ворса не менее  520 г/кв.м. Основа Искусственный джут. Высота ворса не более 2,5 мм. Класс пожарной безопасности не выше КМ2. Назначение покрытия Коммерческое. Фиксация покрытия выполняется с помощью клея, предназначенного для фиксации специальных покрытий. Также включено выравнивание пола во всех необходимых частях холла жидким напольным покрытием для покрытия ковровым покрытием: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ՀՀԿԳՄՍՆԷԱՃԱՊՁԲ-25/24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Абовяна., 7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условии предоставления финансовых средств на покупку 100-й календарный день со дня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Абовяна., 7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условии предоставления финансовых средств на покупку 100-й календарный день со дня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ՀՀԿԳՄՍՆԷԱՃԱՊՁԲ-25/24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ՀՀԿԳՄՍՆԷԱՃԱՊՁԲ-25/24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ՀՀԿԳՄՍՆԷԱՃԱՊՁԲ-25/24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