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лабораторного оборудования для нужд Севанского медицинского центра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25/13</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лабораторного оборудования для нужд Севанского медицинского центра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лабораторного оборудования для нужд Севанского медицинского центра</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лабораторного оборудования для нужд Севанского медицинского центра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25/13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клинический биохимический анализатор крови
• Пропускная способность не менее 100 тестов/час
• Языки как минимум русский, английский
• Возможность считывания внутреннего штрих-кода
• Многоступенчатая промывочная станция для реакционных кювет
• Методы измерения: фотометрия (калориметрия, УФ-тест, турбодиметрия)
 • Методы испытаний: бихроматический анализ/контроль реагентов, кинетический, фиксированное время, дифференциальный анализ конечной точки/контроль реагентов
• Методы расчета: одноточечный и многоточечный факторинг
• Алгоритм расчета: линейный (факторный, линейный, линейная регрессия, усредненный), нелинейный, пятипараметрический (сигмоидальный), многопараметрический (логит-логарифмический)
• Требование 8 или более стандартов для каждого тестового образца/контроля/калибратора
• Тип образца: сыворотка, плазма, моча, цельная кровь и т. д.
• Объем инъекции: не менее 2-300 мкл/тест
• Возможность непрерывного импорта
• Первоначальное разбавление: автоматическое (игла или в реакционной пробирке)
• Обратное разбавление: автоматическое (в случае необычных дозировок, чрезмерного извлечения субстрата или меньшего, чем требуется, количества)
• Наличие позиций для более чем 30 реагентов
• Наличие позиций для более чем 60 образцов
• Реакционный диск и инкубационные позиции с не менее чем 80 моющимися многоразовыми кюветами
• Минимальный и максимальный объемы реакции не более 210 и 350 мкл
• Станция промывки кювет с не менее чем 8 шагами и 8 иглами, 2 типа промывочных бутылок: системные и жидкие промывочные растворы
• Инкубатор: 37±0,2 градуса, обогрев воздуха
• Время инкубации: максимум 795 секунд, включая время инкубации и проверки. Загрузка жидкости
• Наличие колена пипетки для переливания жидкости
• Наличие датчиков уровня жидкости для каждой кюветы
• Наличие системы обнаружения столкновений горизонтального зонда
• Расход воды: менее 2 л/ч (8 мл/тест)
• Качество воды: фильтрация 10uS, дистиллированная деионизированная
• Система считывания: моно и бихроматическая, наличие интерференционного фильтра
• Оптическая система: интерференционные фильтры
• Источник света: галогенная лампа
• Диапазон светового спектра не менее 340-900 нм
• Требуется не менее 9 встроенных длин волн, из которых 340, 405, 505, 546, 578, 600, 650, 700 нм с погрешностью ± 2 нм.
• Приемник: кремниевый фотодатчик
• Диапазон поглощения: 0-2,5 OD
• Точность измерения поглощения не более 0,0001 OD
• Неограниченная доступность памяти для экспериментов, калибровки, данных пациента, данных контроля качества, кривой поглощения,
• Не менее 3 уровней контроля
• Возможность подключения к компьютеру
• Наличие двусторонней связи ЛИС
Устройство должно быть новым, не бывшим в употреблении, изготовленным не позднее 12 месяцев с даты поставки, иметь все принадлежности для полноценной работы, включая соответствующий компьютер и источник бесперебойного питания, установку, обучение и гарантию не менее 12 месяцев.
Обязательное наличие сертификатов соответствия квалификации и стандартам, сертификатов на поставку и обслуживание, выданных производителем на этапе оценки заявки.
Обязательное наличие сертификатов качества как минимум: EMAS III, ISO 9001, ISO 13485:2016, ISO 14971,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гематологический анализатор крови человека
Количество измеряемых параметров: не менее 29 параметров в режиме Diff, не менее 5 дифференциальных WBC, не менее 15 параметров в режиме CBC.
Производительность: не менее 65 тестов в час.
Наличие считывателя штрих-кода.
Система реакции/считывания: метод импеданса, технология 3D светодиодного лазерного рассеяния для дифференциации, длина волны лазера в диапазоне 535-545 нм, тип детектора: фотодиод.
Доступные языки: русский или армянский.
Пользовательский интерфейс: сенсорный экран с диагональю не менее 10 дюймов.
Режимы работы как минимум: ОАК, ОАК + Дифф, режим разбавленной крови.
Типы образцов: как минимум цельная венозная и капиллярная кровь (антикоагулянты К2 и К3-ЭДТА), предварительно разбавленная кровь.
Измеряемые параметры в режиме Diff: RBC, MCV, HCT, RDW-SD, RDW-CV, HGB, MCH, MCHC, PLT, MPV, PCT, PDW, P-LCC, P-LCR WBC, LYM#, LYM%, MON#, MON%, NEU#, NEU%, EOS#, EOS%, BAS#, BAS%, ALY#, ALY%, LIC#, LIC%.
В режиме CBC измеряются как минимум следующие параметры: WBC, RBC, HGB, MCV, MCH, MCHC, RDW-cv, RDW-sd, HCT, PLT, MPV, PDW, PCT, P-LCC, P-LCR.
Гистограммы распределения как минимум для: WBC, RBC, PLT.
Типы калибровки включают как минимум: ручной режим и автоматический режим с программным обеспечением.
Калибровка как минимум для цельной венозной и капиллярной крови, как минимум со следующими параметрами: RBC, WBC, PLT, MCV, MPV, HCT.
Показатели повторяемости испытаний не менее чем по 5 испытаниям не хуже:
≤2,0% для WBC, ±4,0 для Neu%, ±3,0 для Lym%, ≤1,5% для RBC, ≤1,5% для HGB, ≤4,0% для PLT, 120 фл для MCV.
Индекс референции не менее 0,99
Наличие самотестирования.
Возможность механического открытия электромагнитных клапанов внутренней распределительной системы без демонтажа корпуса оборудования, что позволяет производить быструю промывку и замену форсунок.
Флаги и указания: как минимум клинические (патологические) флаги, лабораторные пределы, нормальные диапазоны, высокие/низкие значения, пустое измерение, шум/артефакт.
Объем пробы составляет не более 20 мкл для цельной крови, 11 мкл для разбавленной крови.
Разбавленная кровь получается автоматически внутри устройства.
Реагенты без содержания цианида.
Размер апертуры RBC/PLT 70 мкм ±1%.
Объем памяти устройства не менее 50 000 тестов, включая флаги, разброс, гистограммы, показатели контроля качества для каждого теста.
Количество уровней контроля — не более 6.
Разъемы: не менее 4 USB 2.0.
Стандарты подключения как минимум: двусторонняя LIS, HL7.
Стандарты электроснабжения в соответствии с требованиями Электросетей РА.
Укомплектован всеми необходимыми принадлежностями для полноценной работы, включая сканер штрих-кода, набор пробирок для хранения, контейнер для отходов, набор реагентов, кабели, годовой пакет сервисного обслуживания с запасными частями.
Поставщик должен быть официальным представителем производителя в Республике Армения и обеспечить установку устройства, подключение, обучение персонала, гарантийное и послегарантийное обслуживание.
Гарантия не менее 12 месяцев
Обязательное наличие сертификатов соответствия квалификации и стандартам, сертификатов на поставку и обслуживание, выданных производителем на этапе оценки заявки.
Сертификаты как минимум: EMAS, ISO 13485:2016, ISO 9001:2015, ISO 14001:2016, CE 98/79 EC- Приложение 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